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4" w:rsidRPr="002532B4" w:rsidRDefault="00660D24" w:rsidP="007C1454">
      <w:pPr>
        <w:spacing w:after="0" w:line="240" w:lineRule="auto"/>
        <w:jc w:val="center"/>
        <w:rPr>
          <w:b/>
        </w:rPr>
      </w:pPr>
      <w:r w:rsidRPr="002532B4">
        <w:rPr>
          <w:b/>
        </w:rPr>
        <w:t>Standard Operating Procedure</w:t>
      </w:r>
    </w:p>
    <w:p w:rsidR="00660D24" w:rsidRPr="00EF12D0" w:rsidRDefault="00461D7F" w:rsidP="007C145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Picric Acid</w:t>
      </w:r>
    </w:p>
    <w:p w:rsidR="004440DE" w:rsidRDefault="00EF12D0" w:rsidP="007C145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466D38" wp14:editId="4B65BCD0">
            <wp:extent cx="749808" cy="749808"/>
            <wp:effectExtent l="0" t="0" r="0" b="0"/>
            <wp:docPr id="4" name="Picture 4" descr="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0DE">
        <w:rPr>
          <w:noProof/>
        </w:rPr>
        <w:drawing>
          <wp:inline distT="0" distB="0" distL="0" distR="0">
            <wp:extent cx="749808" cy="749808"/>
            <wp:effectExtent l="0" t="0" r="0" b="0"/>
            <wp:docPr id="1" name="Picture 1" descr="http://www.thecompliancecenter.com/store/media/catalog/product/cache/1/image/325x/9df78eab33525d08d6e5fb8d27136e95/l/b/lb48ghs65_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ompliancecenter.com/store/media/catalog/product/cache/1/image/325x/9df78eab33525d08d6e5fb8d27136e95/l/b/lb48ghs65_h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8" w:type="dxa"/>
        <w:tblInd w:w="360" w:type="dxa"/>
        <w:tblLook w:val="04A0" w:firstRow="1" w:lastRow="0" w:firstColumn="1" w:lastColumn="0" w:noHBand="0" w:noVBand="1"/>
      </w:tblPr>
      <w:tblGrid>
        <w:gridCol w:w="715"/>
        <w:gridCol w:w="448"/>
        <w:gridCol w:w="1152"/>
        <w:gridCol w:w="4132"/>
        <w:gridCol w:w="809"/>
        <w:gridCol w:w="178"/>
        <w:gridCol w:w="3204"/>
      </w:tblGrid>
      <w:tr w:rsidR="004440DE" w:rsidRPr="00431824" w:rsidTr="00D767E7">
        <w:tc>
          <w:tcPr>
            <w:tcW w:w="2226" w:type="dxa"/>
            <w:gridSpan w:val="3"/>
          </w:tcPr>
          <w:p w:rsidR="004440DE" w:rsidRPr="00431824" w:rsidRDefault="004440DE" w:rsidP="004440DE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Chemical name, CAS:</w:t>
            </w:r>
          </w:p>
        </w:tc>
        <w:tc>
          <w:tcPr>
            <w:tcW w:w="8412" w:type="dxa"/>
            <w:gridSpan w:val="4"/>
          </w:tcPr>
          <w:p w:rsidR="004440DE" w:rsidRPr="00431824" w:rsidRDefault="00461D7F" w:rsidP="00D82731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Picric Acid (</w:t>
            </w:r>
            <w:r w:rsidR="00D82731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2,4,6-Trinitrophenol, </w:t>
            </w:r>
            <w:proofErr w:type="spellStart"/>
            <w:r w:rsidR="00D82731">
              <w:rPr>
                <w:rFonts w:asciiTheme="majorHAnsi" w:hAnsiTheme="majorHAnsi"/>
                <w:b/>
                <w:color w:val="1F497D" w:themeColor="text2"/>
                <w:sz w:val="24"/>
              </w:rPr>
              <w:t>Picronitric</w:t>
            </w:r>
            <w:proofErr w:type="spellEnd"/>
            <w:r w:rsidR="00D82731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 Acid) 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CAS: 88-89-1</w:t>
            </w:r>
          </w:p>
        </w:tc>
      </w:tr>
      <w:tr w:rsidR="00660D24" w:rsidRPr="00431824" w:rsidTr="00D767E7">
        <w:tc>
          <w:tcPr>
            <w:tcW w:w="613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PI:</w:t>
            </w:r>
          </w:p>
        </w:tc>
        <w:tc>
          <w:tcPr>
            <w:tcW w:w="5795" w:type="dxa"/>
            <w:gridSpan w:val="3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809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Date:</w:t>
            </w:r>
          </w:p>
        </w:tc>
        <w:tc>
          <w:tcPr>
            <w:tcW w:w="3421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</w:tr>
      <w:tr w:rsidR="00660D24" w:rsidRPr="00431824" w:rsidTr="00D767E7">
        <w:tc>
          <w:tcPr>
            <w:tcW w:w="1062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Building:</w:t>
            </w:r>
          </w:p>
        </w:tc>
        <w:tc>
          <w:tcPr>
            <w:tcW w:w="5346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988" w:type="dxa"/>
            <w:gridSpan w:val="2"/>
          </w:tcPr>
          <w:p w:rsidR="00660D24" w:rsidRPr="00431824" w:rsidRDefault="00302CA2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Lab</w:t>
            </w:r>
            <w:r w:rsidR="00660D24" w:rsidRPr="00431824">
              <w:rPr>
                <w:b/>
                <w:sz w:val="24"/>
              </w:rPr>
              <w:t xml:space="preserve"> #:</w:t>
            </w:r>
          </w:p>
        </w:tc>
        <w:tc>
          <w:tcPr>
            <w:tcW w:w="3242" w:type="dxa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</w:pPr>
    </w:p>
    <w:p w:rsidR="000E0C95" w:rsidRPr="002D4F26" w:rsidRDefault="00B4231B" w:rsidP="000E0C95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2D4F26">
        <w:rPr>
          <w:b/>
          <w:bCs/>
          <w:sz w:val="28"/>
        </w:rPr>
        <w:t>Material</w:t>
      </w:r>
      <w:r w:rsidR="000E0C95" w:rsidRPr="002D4F26">
        <w:rPr>
          <w:b/>
          <w:bCs/>
          <w:sz w:val="28"/>
        </w:rPr>
        <w:t xml:space="preserve"> Use: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0E0C95" w:rsidRPr="00B4231B" w:rsidRDefault="00D82731" w:rsidP="00D82731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 w:rsidRPr="00D82731">
              <w:rPr>
                <w:rFonts w:asciiTheme="majorHAnsi" w:hAnsiTheme="majorHAnsi"/>
                <w:bCs/>
                <w:color w:val="1F497D" w:themeColor="text2"/>
              </w:rPr>
              <w:t>Picric acid has been used in munitions and explosives, for stainin</w:t>
            </w:r>
            <w:r>
              <w:rPr>
                <w:rFonts w:asciiTheme="majorHAnsi" w:hAnsiTheme="majorHAnsi"/>
                <w:bCs/>
                <w:color w:val="1F497D" w:themeColor="text2"/>
              </w:rPr>
              <w:t xml:space="preserve">g of microscopic specimens, and </w:t>
            </w:r>
            <w:r w:rsidRPr="00D82731">
              <w:rPr>
                <w:rFonts w:asciiTheme="majorHAnsi" w:hAnsiTheme="majorHAnsi"/>
                <w:bCs/>
                <w:color w:val="1F497D" w:themeColor="text2"/>
              </w:rPr>
              <w:t>in pharmaceutical applications. At CSM</w:t>
            </w:r>
            <w:r w:rsidR="004E0C26">
              <w:rPr>
                <w:rFonts w:asciiTheme="majorHAnsi" w:hAnsiTheme="majorHAnsi"/>
                <w:bCs/>
                <w:color w:val="1F497D" w:themeColor="text2"/>
              </w:rPr>
              <w:t>,</w:t>
            </w:r>
            <w:r w:rsidRPr="00D82731">
              <w:rPr>
                <w:rFonts w:asciiTheme="majorHAnsi" w:hAnsiTheme="majorHAnsi"/>
                <w:bCs/>
                <w:color w:val="1F497D" w:themeColor="text2"/>
              </w:rPr>
              <w:t xml:space="preserve"> picric</w:t>
            </w:r>
            <w:r w:rsidR="007C1454">
              <w:rPr>
                <w:rFonts w:asciiTheme="majorHAnsi" w:hAnsiTheme="majorHAnsi"/>
                <w:bCs/>
                <w:color w:val="1F497D" w:themeColor="text2"/>
              </w:rPr>
              <w:t xml:space="preserve"> acid is</w:t>
            </w:r>
            <w:r w:rsidRPr="00D82731">
              <w:rPr>
                <w:rFonts w:asciiTheme="majorHAnsi" w:hAnsiTheme="majorHAnsi"/>
                <w:bCs/>
                <w:color w:val="1F497D" w:themeColor="text2"/>
              </w:rPr>
              <w:t xml:space="preserve"> used</w:t>
            </w:r>
            <w:r w:rsidR="007C1454">
              <w:rPr>
                <w:rFonts w:asciiTheme="majorHAnsi" w:hAnsiTheme="majorHAnsi"/>
                <w:bCs/>
                <w:color w:val="1F497D" w:themeColor="text2"/>
              </w:rPr>
              <w:t xml:space="preserve"> often</w:t>
            </w:r>
            <w:r w:rsidRPr="00D82731">
              <w:rPr>
                <w:rFonts w:asciiTheme="majorHAnsi" w:hAnsiTheme="majorHAnsi"/>
                <w:bCs/>
                <w:color w:val="1F497D" w:themeColor="text2"/>
              </w:rPr>
              <w:t xml:space="preserve"> as a metal et</w:t>
            </w:r>
            <w:r>
              <w:rPr>
                <w:rFonts w:asciiTheme="majorHAnsi" w:hAnsiTheme="majorHAnsi"/>
                <w:bCs/>
                <w:color w:val="1F497D" w:themeColor="text2"/>
              </w:rPr>
              <w:t xml:space="preserve">chant and as a chemical reagent </w:t>
            </w:r>
            <w:r w:rsidRPr="00D82731">
              <w:rPr>
                <w:rFonts w:asciiTheme="majorHAnsi" w:hAnsiTheme="majorHAnsi"/>
                <w:bCs/>
                <w:color w:val="1F497D" w:themeColor="text2"/>
              </w:rPr>
              <w:t>in teaching and synthesis labs.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  <w:r w:rsidRPr="002532B4">
        <w:rPr>
          <w:bCs/>
        </w:rPr>
        <w:t xml:space="preserve"> </w:t>
      </w: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Potential Hazards: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3475"/>
        <w:gridCol w:w="3471"/>
      </w:tblGrid>
      <w:tr w:rsidR="000E0C95" w:rsidRPr="002532B4" w:rsidTr="007C1454">
        <w:tc>
          <w:tcPr>
            <w:tcW w:w="10412" w:type="dxa"/>
            <w:gridSpan w:val="3"/>
          </w:tcPr>
          <w:p w:rsidR="004440DE" w:rsidRPr="00D82731" w:rsidRDefault="00D82731" w:rsidP="00F11E93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D82731">
              <w:rPr>
                <w:rFonts w:asciiTheme="majorHAnsi" w:hAnsiTheme="majorHAnsi"/>
                <w:color w:val="1F497D" w:themeColor="text2"/>
              </w:rPr>
              <w:t>Picric acid is 2</w:t>
            </w:r>
            <w:proofErr w:type="gramStart"/>
            <w:r w:rsidRPr="00D82731">
              <w:rPr>
                <w:rFonts w:asciiTheme="majorHAnsi" w:hAnsiTheme="majorHAnsi"/>
                <w:color w:val="1F497D" w:themeColor="text2"/>
              </w:rPr>
              <w:t>,4,6</w:t>
            </w:r>
            <w:proofErr w:type="gramEnd"/>
            <w:r w:rsidRPr="00D82731">
              <w:rPr>
                <w:rFonts w:asciiTheme="majorHAnsi" w:hAnsiTheme="majorHAnsi"/>
                <w:color w:val="1F497D" w:themeColor="text2"/>
              </w:rPr>
              <w:t>-trinitrophenol. Pure picric acid is a solid organic compound</w:t>
            </w:r>
            <w:r>
              <w:rPr>
                <w:rFonts w:asciiTheme="majorHAnsi" w:hAnsiTheme="majorHAnsi"/>
                <w:color w:val="1F497D" w:themeColor="text2"/>
              </w:rPr>
              <w:t xml:space="preserve"> with a yellow color</w:t>
            </w:r>
            <w:r w:rsidRPr="00D82731">
              <w:rPr>
                <w:rFonts w:asciiTheme="majorHAnsi" w:hAnsiTheme="majorHAnsi"/>
                <w:color w:val="1F497D" w:themeColor="text2"/>
              </w:rPr>
              <w:t>.</w:t>
            </w:r>
            <w:r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D82731">
              <w:rPr>
                <w:rFonts w:asciiTheme="majorHAnsi" w:hAnsiTheme="majorHAnsi"/>
                <w:b/>
                <w:color w:val="1F497D" w:themeColor="text2"/>
              </w:rPr>
              <w:t>Dry picric acid is explosive</w:t>
            </w:r>
            <w:r>
              <w:rPr>
                <w:rFonts w:asciiTheme="majorHAnsi" w:hAnsiTheme="majorHAnsi"/>
                <w:color w:val="1F497D" w:themeColor="text2"/>
              </w:rPr>
              <w:t>, and mus</w:t>
            </w:r>
            <w:r w:rsidR="007C1454">
              <w:rPr>
                <w:rFonts w:asciiTheme="majorHAnsi" w:hAnsiTheme="majorHAnsi"/>
                <w:color w:val="1F497D" w:themeColor="text2"/>
              </w:rPr>
              <w:t>t be kept wet with at least 30% water.</w:t>
            </w:r>
            <w:r>
              <w:rPr>
                <w:rFonts w:asciiTheme="majorHAnsi" w:hAnsiTheme="majorHAnsi"/>
                <w:color w:val="1F497D" w:themeColor="text2"/>
              </w:rPr>
              <w:t xml:space="preserve"> Contact EHS immediately if you have</w:t>
            </w:r>
            <w:r w:rsidR="00F11E93">
              <w:rPr>
                <w:rFonts w:asciiTheme="majorHAnsi" w:hAnsiTheme="majorHAnsi"/>
                <w:color w:val="1F497D" w:themeColor="text2"/>
              </w:rPr>
              <w:t xml:space="preserve"> old or</w:t>
            </w:r>
            <w:r>
              <w:rPr>
                <w:rFonts w:asciiTheme="majorHAnsi" w:hAnsiTheme="majorHAnsi"/>
                <w:color w:val="1F497D" w:themeColor="text2"/>
              </w:rPr>
              <w:t xml:space="preserve"> dry picric acid</w:t>
            </w:r>
            <w:r w:rsidR="00F11E93">
              <w:rPr>
                <w:rFonts w:asciiTheme="majorHAnsi" w:hAnsiTheme="majorHAnsi"/>
                <w:color w:val="1F497D" w:themeColor="text2"/>
              </w:rPr>
              <w:t xml:space="preserve">. </w:t>
            </w:r>
            <w:r w:rsidR="00F11E93" w:rsidRPr="00F11E93">
              <w:rPr>
                <w:rFonts w:asciiTheme="majorHAnsi" w:hAnsiTheme="majorHAnsi"/>
                <w:b/>
                <w:color w:val="1F497D" w:themeColor="text2"/>
              </w:rPr>
              <w:t>Do not handle dry picric acid!</w:t>
            </w:r>
            <w:r w:rsidR="00F11E93">
              <w:rPr>
                <w:rFonts w:asciiTheme="majorHAnsi" w:hAnsiTheme="majorHAnsi"/>
                <w:color w:val="1F497D" w:themeColor="text2"/>
              </w:rPr>
              <w:t xml:space="preserve"> P</w:t>
            </w:r>
            <w:r w:rsidR="000E2F46">
              <w:rPr>
                <w:rFonts w:asciiTheme="majorHAnsi" w:hAnsiTheme="majorHAnsi"/>
                <w:color w:val="1F497D" w:themeColor="text2"/>
              </w:rPr>
              <w:t>icric acid reacts easily with metals, bases, and other materials to form explosive picrate salts.</w:t>
            </w:r>
            <w:r w:rsidR="00F11E93">
              <w:rPr>
                <w:rFonts w:asciiTheme="majorHAnsi" w:hAnsiTheme="majorHAnsi"/>
                <w:color w:val="1F497D" w:themeColor="text2"/>
              </w:rPr>
              <w:t xml:space="preserve"> Picric acid is corrosive and will cause skin, eye, or respiratory irritation. Picric acid is toxic and exposure</w:t>
            </w:r>
            <w:r w:rsidR="004E0C26">
              <w:rPr>
                <w:rFonts w:asciiTheme="majorHAnsi" w:hAnsiTheme="majorHAnsi"/>
                <w:color w:val="1F497D" w:themeColor="text2"/>
              </w:rPr>
              <w:t xml:space="preserve"> can</w:t>
            </w:r>
            <w:r w:rsidR="00F11E93">
              <w:rPr>
                <w:rFonts w:asciiTheme="majorHAnsi" w:hAnsiTheme="majorHAnsi"/>
                <w:color w:val="1F497D" w:themeColor="text2"/>
              </w:rPr>
              <w:t xml:space="preserve"> cause headache, vomiting, inflammation of </w:t>
            </w:r>
            <w:r w:rsidR="004E0C26">
              <w:rPr>
                <w:rFonts w:asciiTheme="majorHAnsi" w:hAnsiTheme="majorHAnsi"/>
                <w:color w:val="1F497D" w:themeColor="text2"/>
              </w:rPr>
              <w:t xml:space="preserve">the </w:t>
            </w:r>
            <w:r w:rsidR="00F11E93">
              <w:rPr>
                <w:rFonts w:asciiTheme="majorHAnsi" w:hAnsiTheme="majorHAnsi"/>
                <w:color w:val="1F497D" w:themeColor="text2"/>
              </w:rPr>
              <w:t>kidney</w:t>
            </w:r>
            <w:r w:rsidR="004E0C26">
              <w:rPr>
                <w:rFonts w:asciiTheme="majorHAnsi" w:hAnsiTheme="majorHAnsi"/>
                <w:color w:val="1F497D" w:themeColor="text2"/>
              </w:rPr>
              <w:t>s,</w:t>
            </w:r>
            <w:r w:rsidR="00F11E93">
              <w:rPr>
                <w:rFonts w:asciiTheme="majorHAnsi" w:hAnsiTheme="majorHAnsi"/>
                <w:color w:val="1F497D" w:themeColor="text2"/>
              </w:rPr>
              <w:t xml:space="preserve"> and acute hepatitis.</w:t>
            </w:r>
          </w:p>
        </w:tc>
      </w:tr>
      <w:tr w:rsidR="0043737A" w:rsidRPr="002532B4" w:rsidTr="007C1454">
        <w:trPr>
          <w:trHeight w:val="332"/>
        </w:trPr>
        <w:tc>
          <w:tcPr>
            <w:tcW w:w="3466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Material</w:t>
            </w:r>
          </w:p>
        </w:tc>
        <w:tc>
          <w:tcPr>
            <w:tcW w:w="3475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OSHA Permissible Exposure Limit</w:t>
            </w:r>
          </w:p>
        </w:tc>
        <w:tc>
          <w:tcPr>
            <w:tcW w:w="3471" w:type="dxa"/>
            <w:shd w:val="clear" w:color="auto" w:fill="000000" w:themeFill="text1"/>
          </w:tcPr>
          <w:p w:rsidR="0043737A" w:rsidRPr="004F0B09" w:rsidRDefault="007C1454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I</w:t>
            </w:r>
            <w:r w:rsidR="00E86A2C">
              <w:rPr>
                <w:rFonts w:asciiTheme="minorHAnsi" w:hAnsiTheme="minorHAnsi"/>
                <w:color w:val="FFFFFF" w:themeColor="background1"/>
              </w:rPr>
              <w:t>DLH</w:t>
            </w:r>
          </w:p>
        </w:tc>
      </w:tr>
      <w:tr w:rsidR="00E86A2C" w:rsidRPr="002532B4" w:rsidTr="007C1454">
        <w:trPr>
          <w:trHeight w:val="51"/>
        </w:trPr>
        <w:tc>
          <w:tcPr>
            <w:tcW w:w="3466" w:type="dxa"/>
          </w:tcPr>
          <w:p w:rsidR="00E86A2C" w:rsidRPr="004440DE" w:rsidRDefault="00E86A2C" w:rsidP="00E86A2C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Picric acid</w:t>
            </w:r>
          </w:p>
        </w:tc>
        <w:tc>
          <w:tcPr>
            <w:tcW w:w="3475" w:type="dxa"/>
          </w:tcPr>
          <w:p w:rsidR="00E86A2C" w:rsidRPr="004440DE" w:rsidRDefault="00E86A2C" w:rsidP="00E86A2C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0.1 mg/m</w:t>
            </w:r>
            <w:r w:rsidRPr="007C1454">
              <w:rPr>
                <w:rFonts w:asciiTheme="majorHAnsi" w:hAnsiTheme="majorHAnsi"/>
                <w:color w:val="1F497D" w:themeColor="text2"/>
                <w:vertAlign w:val="superscript"/>
              </w:rPr>
              <w:t>3</w:t>
            </w:r>
            <w:r>
              <w:rPr>
                <w:rFonts w:asciiTheme="majorHAnsi" w:hAnsiTheme="majorHAnsi"/>
                <w:color w:val="1F497D" w:themeColor="text2"/>
              </w:rPr>
              <w:t xml:space="preserve"> [skin]</w:t>
            </w:r>
          </w:p>
        </w:tc>
        <w:tc>
          <w:tcPr>
            <w:tcW w:w="3471" w:type="dxa"/>
          </w:tcPr>
          <w:p w:rsidR="00E86A2C" w:rsidRPr="004440DE" w:rsidRDefault="00E86A2C" w:rsidP="00E86A2C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75 mg/m</w:t>
            </w:r>
            <w:r w:rsidRPr="007C1454">
              <w:rPr>
                <w:rFonts w:asciiTheme="majorHAnsi" w:hAnsiTheme="majorHAnsi"/>
                <w:color w:val="1F497D" w:themeColor="text2"/>
                <w:vertAlign w:val="superscript"/>
              </w:rPr>
              <w:t>3</w:t>
            </w:r>
            <w:r>
              <w:rPr>
                <w:rFonts w:asciiTheme="majorHAnsi" w:hAnsiTheme="majorHAnsi"/>
                <w:color w:val="1F497D" w:themeColor="text2"/>
              </w:rPr>
              <w:t xml:space="preserve"> [skin]</w:t>
            </w:r>
          </w:p>
        </w:tc>
      </w:tr>
    </w:tbl>
    <w:p w:rsidR="004F0B09" w:rsidRPr="00143852" w:rsidRDefault="004F0B09" w:rsidP="004F0B09">
      <w:pPr>
        <w:spacing w:after="0" w:line="240" w:lineRule="auto"/>
        <w:rPr>
          <w:sz w:val="18"/>
          <w:szCs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Engineering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1016" w:type="dxa"/>
          </w:tcPr>
          <w:p w:rsidR="000E2F46" w:rsidRPr="00536ED4" w:rsidRDefault="000E2F46" w:rsidP="000E2F46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 xml:space="preserve">All work must be conducted in a </w:t>
            </w:r>
            <w:r w:rsidRPr="005126F0">
              <w:rPr>
                <w:rFonts w:asciiTheme="majorHAnsi" w:hAnsiTheme="majorHAnsi"/>
                <w:b/>
                <w:color w:val="1F497D" w:themeColor="text2"/>
              </w:rPr>
              <w:t>designated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hood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labelled: “DANGER, </w:t>
            </w:r>
            <w:r>
              <w:rPr>
                <w:rFonts w:asciiTheme="majorHAnsi" w:hAnsiTheme="majorHAnsi"/>
                <w:color w:val="1F497D" w:themeColor="text2"/>
              </w:rPr>
              <w:t>Picric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Acid”</w:t>
            </w:r>
          </w:p>
          <w:p w:rsidR="000E2F46" w:rsidRDefault="000E2F46" w:rsidP="000E2F46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 xml:space="preserve">Access to an eyewash and safety shower must be </w:t>
            </w:r>
            <w:r w:rsidR="004E0C26">
              <w:rPr>
                <w:rFonts w:asciiTheme="majorHAnsi" w:hAnsiTheme="majorHAnsi"/>
                <w:color w:val="1F497D" w:themeColor="text2"/>
              </w:rPr>
              <w:t xml:space="preserve">readily </w:t>
            </w:r>
            <w:r w:rsidRPr="00536ED4">
              <w:rPr>
                <w:rFonts w:asciiTheme="majorHAnsi" w:hAnsiTheme="majorHAnsi"/>
                <w:color w:val="1F497D" w:themeColor="text2"/>
              </w:rPr>
              <w:t>available.</w:t>
            </w:r>
          </w:p>
          <w:p w:rsidR="000E2F46" w:rsidRDefault="000E2F46" w:rsidP="000E2F46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Laboratory h</w:t>
            </w:r>
            <w:r w:rsidRPr="00536ED4">
              <w:rPr>
                <w:rFonts w:asciiTheme="majorHAnsi" w:hAnsiTheme="majorHAnsi"/>
                <w:color w:val="1F497D" w:themeColor="text2"/>
              </w:rPr>
              <w:t>ood sash height should be kept low to minimize escaping fumes and provide protection from splashes.</w:t>
            </w:r>
          </w:p>
          <w:p w:rsidR="000E0C95" w:rsidRPr="000E2F46" w:rsidRDefault="000E2F46" w:rsidP="000E2F46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0E2F46">
              <w:rPr>
                <w:rFonts w:asciiTheme="majorHAnsi" w:hAnsiTheme="majorHAnsi"/>
                <w:color w:val="1F497D" w:themeColor="text2"/>
              </w:rPr>
              <w:t>The lab personnel must have easy access to a telephone (landline or cell phone).</w:t>
            </w:r>
            <w:r w:rsidR="000E0C95" w:rsidRPr="000E2F46">
              <w:rPr>
                <w:i/>
              </w:rPr>
              <w:t xml:space="preserve"> 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Work Practice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1D4A52" w:rsidTr="00E86A2C">
        <w:trPr>
          <w:trHeight w:val="638"/>
        </w:trPr>
        <w:tc>
          <w:tcPr>
            <w:tcW w:w="11016" w:type="dxa"/>
          </w:tcPr>
          <w:p w:rsidR="000E2F46" w:rsidRDefault="000E2F46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81536C">
              <w:rPr>
                <w:rFonts w:asciiTheme="majorHAnsi" w:hAnsiTheme="majorHAnsi"/>
                <w:color w:val="1F497D" w:themeColor="text2"/>
              </w:rPr>
              <w:t>Ensure that you have all t</w:t>
            </w:r>
            <w:r w:rsidR="004E0C26">
              <w:rPr>
                <w:rFonts w:asciiTheme="majorHAnsi" w:hAnsiTheme="majorHAnsi"/>
                <w:color w:val="1F497D" w:themeColor="text2"/>
              </w:rPr>
              <w:t>he PPE required for handling picric a</w:t>
            </w:r>
            <w:r>
              <w:rPr>
                <w:rFonts w:asciiTheme="majorHAnsi" w:hAnsiTheme="majorHAnsi"/>
                <w:color w:val="1F497D" w:themeColor="text2"/>
              </w:rPr>
              <w:t>cid.</w:t>
            </w:r>
          </w:p>
          <w:p w:rsidR="00CA28AA" w:rsidRPr="001D4A52" w:rsidRDefault="004F0B09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1D4A52">
              <w:rPr>
                <w:rFonts w:asciiTheme="majorHAnsi" w:hAnsiTheme="majorHAnsi"/>
                <w:color w:val="1F497D" w:themeColor="text2"/>
              </w:rPr>
              <w:t xml:space="preserve">Wash hands immediately after handling </w:t>
            </w:r>
            <w:r w:rsidR="00302CA2">
              <w:rPr>
                <w:rFonts w:asciiTheme="majorHAnsi" w:hAnsiTheme="majorHAnsi"/>
                <w:color w:val="1F497D" w:themeColor="text2"/>
              </w:rPr>
              <w:t xml:space="preserve">hazardous </w:t>
            </w:r>
            <w:r w:rsidRPr="001D4A52">
              <w:rPr>
                <w:rFonts w:asciiTheme="majorHAnsi" w:hAnsiTheme="majorHAnsi"/>
                <w:color w:val="1F497D" w:themeColor="text2"/>
              </w:rPr>
              <w:t>materials. Wash hands before exiting the lab.</w:t>
            </w:r>
          </w:p>
          <w:p w:rsidR="00143852" w:rsidRDefault="00E86A2C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E86A2C">
              <w:rPr>
                <w:rFonts w:asciiTheme="majorHAnsi" w:hAnsiTheme="majorHAnsi"/>
                <w:b/>
                <w:color w:val="1F497D" w:themeColor="text2"/>
              </w:rPr>
              <w:t>Do not use metal spatulas</w:t>
            </w:r>
            <w:r>
              <w:rPr>
                <w:rFonts w:asciiTheme="majorHAnsi" w:hAnsiTheme="majorHAnsi"/>
                <w:color w:val="1F497D" w:themeColor="text2"/>
              </w:rPr>
              <w:t xml:space="preserve"> when mani</w:t>
            </w:r>
            <w:r w:rsidR="000E2F46">
              <w:rPr>
                <w:rFonts w:asciiTheme="majorHAnsi" w:hAnsiTheme="majorHAnsi"/>
                <w:color w:val="1F497D" w:themeColor="text2"/>
              </w:rPr>
              <w:t>pulating picric acid. Explosive metal picrate salts can be formed.</w:t>
            </w:r>
          </w:p>
          <w:p w:rsidR="00A45046" w:rsidRDefault="00A45046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Keep work areas clean. Picric acid can sublimate and react with nearby metals or other materials to form dangerous picrate salts.</w:t>
            </w:r>
          </w:p>
          <w:p w:rsidR="000E2F46" w:rsidRDefault="000E2F46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Do not use glass stoppers. </w:t>
            </w:r>
            <w:r>
              <w:rPr>
                <w:rFonts w:asciiTheme="majorHAnsi" w:hAnsiTheme="majorHAnsi"/>
                <w:color w:val="1F497D" w:themeColor="text2"/>
              </w:rPr>
              <w:t>Picric acid can get stuck in the neck of the bottle and explode upon opening.</w:t>
            </w:r>
          </w:p>
          <w:p w:rsidR="000E2F46" w:rsidRDefault="000E2F46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Wipe down bottleneck, cap, and threads of bottle with wet cloth </w:t>
            </w:r>
            <w:r w:rsidRPr="000E2F46">
              <w:rPr>
                <w:rFonts w:asciiTheme="majorHAnsi" w:hAnsiTheme="majorHAnsi"/>
                <w:color w:val="1F497D" w:themeColor="text2"/>
              </w:rPr>
              <w:t>before re-capping</w:t>
            </w:r>
            <w:r>
              <w:rPr>
                <w:rFonts w:asciiTheme="majorHAnsi" w:hAnsiTheme="majorHAnsi"/>
                <w:color w:val="1F497D" w:themeColor="text2"/>
              </w:rPr>
              <w:t>.</w:t>
            </w:r>
          </w:p>
          <w:p w:rsidR="00D0571B" w:rsidRPr="001D4A52" w:rsidRDefault="00D0571B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Do not work alone with picric acid.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color w:val="1F497D" w:themeColor="text2"/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Personal protective equipment (PPE):</w:t>
      </w:r>
      <w:r w:rsidRPr="002D4F26">
        <w:rPr>
          <w:bCs/>
          <w:sz w:val="28"/>
        </w:rPr>
        <w:t xml:space="preserve"> </w:t>
      </w:r>
    </w:p>
    <w:tbl>
      <w:tblPr>
        <w:tblW w:w="8940" w:type="dxa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521"/>
        <w:gridCol w:w="1603"/>
        <w:gridCol w:w="1603"/>
        <w:gridCol w:w="2526"/>
      </w:tblGrid>
      <w:tr w:rsidR="00A45046" w:rsidRPr="002532B4" w:rsidTr="00F11E93">
        <w:trPr>
          <w:trHeight w:val="1529"/>
        </w:trPr>
        <w:tc>
          <w:tcPr>
            <w:tcW w:w="1687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8FF256" wp14:editId="5450B385">
                  <wp:extent cx="752475" cy="752475"/>
                  <wp:effectExtent l="0" t="0" r="9525" b="9525"/>
                  <wp:docPr id="9" name="Picture 9" descr="C:\Users\zsmith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zsmith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03CCD5" wp14:editId="27D5E737">
                  <wp:extent cx="752475" cy="752475"/>
                  <wp:effectExtent l="0" t="0" r="9525" b="9525"/>
                  <wp:docPr id="10" name="Picture 10" descr="C:\Users\zsmith\AppData\Local\Microsoft\Windows\INetCache\Content.Word\Splash Gog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zsmith\AppData\Local\Microsoft\Windows\INetCache\Content.Word\Splash Gogg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046" w:rsidRPr="00A9298C" w:rsidRDefault="00A45046" w:rsidP="00A9298C">
            <w:pPr>
              <w:tabs>
                <w:tab w:val="left" w:pos="1290"/>
              </w:tabs>
            </w:pPr>
            <w:r>
              <w:tab/>
            </w:r>
          </w:p>
        </w:tc>
        <w:tc>
          <w:tcPr>
            <w:tcW w:w="1603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13E8AB" wp14:editId="1AD1D119">
                  <wp:extent cx="752475" cy="752475"/>
                  <wp:effectExtent l="0" t="0" r="9525" b="9525"/>
                  <wp:docPr id="11" name="Picture 11" descr="C:\Users\zsmith\AppData\Local\Microsoft\Windows\INetCache\Content.Word\Face 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zsmith\AppData\Local\Microsoft\Windows\INetCache\Content.Word\Face 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4F71E9" wp14:editId="48D202F0">
                  <wp:extent cx="752475" cy="752475"/>
                  <wp:effectExtent l="0" t="0" r="9525" b="9525"/>
                  <wp:docPr id="12" name="Picture 12" descr="C:\Users\zsmith\AppData\Local\Microsoft\Windows\INetCache\Content.Word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zsmith\AppData\Local\Microsoft\Windows\INetCache\Content.Word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 w:rsidRPr="00855484">
              <w:rPr>
                <w:noProof/>
              </w:rPr>
              <w:drawing>
                <wp:inline distT="0" distB="0" distL="0" distR="0" wp14:anchorId="3BC77E70" wp14:editId="6F4A72F0">
                  <wp:extent cx="1462126" cy="749808"/>
                  <wp:effectExtent l="0" t="0" r="5080" b="0"/>
                  <wp:docPr id="14" name="Picture 14" descr="Z:\SOPs\ISO PPE Pictograms\Pants and Sh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SOPs\ISO PPE Pictograms\Pants and Sh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26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046" w:rsidRPr="002532B4" w:rsidRDefault="00A45046" w:rsidP="003D325F">
            <w:pPr>
              <w:spacing w:after="0" w:line="240" w:lineRule="auto"/>
              <w:jc w:val="center"/>
            </w:pPr>
          </w:p>
        </w:tc>
      </w:tr>
      <w:tr w:rsidR="00A45046" w:rsidRPr="002532B4" w:rsidTr="00F11E93">
        <w:trPr>
          <w:trHeight w:val="341"/>
        </w:trPr>
        <w:tc>
          <w:tcPr>
            <w:tcW w:w="1687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t>Lab Coat</w:t>
            </w:r>
          </w:p>
          <w:p w:rsidR="00A45046" w:rsidRDefault="00A45046" w:rsidP="003D325F">
            <w:pPr>
              <w:spacing w:after="0" w:line="240" w:lineRule="auto"/>
              <w:jc w:val="center"/>
            </w:pPr>
            <w:r>
              <w:t>Flame Resistant</w:t>
            </w:r>
          </w:p>
        </w:tc>
        <w:tc>
          <w:tcPr>
            <w:tcW w:w="1521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t>Splash Goggles</w:t>
            </w:r>
          </w:p>
        </w:tc>
        <w:tc>
          <w:tcPr>
            <w:tcW w:w="1603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t>Face Shield</w:t>
            </w:r>
          </w:p>
        </w:tc>
        <w:tc>
          <w:tcPr>
            <w:tcW w:w="1603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>
              <w:t>Gloves</w:t>
            </w:r>
          </w:p>
          <w:p w:rsidR="00A45046" w:rsidRDefault="00A45046" w:rsidP="003D325F">
            <w:pPr>
              <w:spacing w:after="0" w:line="240" w:lineRule="auto"/>
              <w:jc w:val="center"/>
            </w:pPr>
            <w:r>
              <w:t>Butyl or Viton</w:t>
            </w:r>
          </w:p>
        </w:tc>
        <w:tc>
          <w:tcPr>
            <w:tcW w:w="2526" w:type="dxa"/>
          </w:tcPr>
          <w:p w:rsidR="00A45046" w:rsidRDefault="00A45046" w:rsidP="003D325F">
            <w:pPr>
              <w:spacing w:after="0" w:line="240" w:lineRule="auto"/>
              <w:jc w:val="center"/>
            </w:pPr>
            <w:r w:rsidRPr="00855484">
              <w:t>Long Pants/Closed-toe Shoes</w:t>
            </w:r>
          </w:p>
        </w:tc>
      </w:tr>
    </w:tbl>
    <w:p w:rsidR="000E0C95" w:rsidRPr="002D4F26" w:rsidRDefault="000E0C95" w:rsidP="000E0C95">
      <w:pPr>
        <w:spacing w:after="0" w:line="240" w:lineRule="auto"/>
        <w:rPr>
          <w:sz w:val="2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Storage: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D0571B" w:rsidRPr="00D0571B" w:rsidRDefault="00D0571B" w:rsidP="00A450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D0571B">
              <w:rPr>
                <w:rFonts w:asciiTheme="majorHAnsi" w:hAnsiTheme="majorHAnsi"/>
                <w:b/>
                <w:color w:val="1F497D" w:themeColor="text2"/>
              </w:rPr>
              <w:t>Do not allow to evaporate to dryness.</w:t>
            </w:r>
          </w:p>
          <w:p w:rsidR="00D0571B" w:rsidRDefault="00302CA2" w:rsidP="00A450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A45046">
              <w:rPr>
                <w:rFonts w:asciiTheme="majorHAnsi" w:hAnsiTheme="majorHAnsi"/>
                <w:color w:val="1F497D" w:themeColor="text2"/>
              </w:rPr>
              <w:t>Store</w:t>
            </w:r>
            <w:r w:rsidR="001D4A52" w:rsidRPr="00A45046">
              <w:rPr>
                <w:rFonts w:asciiTheme="majorHAnsi" w:hAnsiTheme="majorHAnsi"/>
                <w:color w:val="1F497D" w:themeColor="text2"/>
              </w:rPr>
              <w:t xml:space="preserve"> compounds in containers clearly labeled with contents. Keep conta</w:t>
            </w:r>
            <w:r w:rsidR="00D0571B">
              <w:rPr>
                <w:rFonts w:asciiTheme="majorHAnsi" w:hAnsiTheme="majorHAnsi"/>
                <w:color w:val="1F497D" w:themeColor="text2"/>
              </w:rPr>
              <w:t>iners in secondary containment.</w:t>
            </w:r>
          </w:p>
          <w:p w:rsidR="000E2F46" w:rsidRPr="00D0571B" w:rsidRDefault="001D4A52" w:rsidP="00D057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A45046">
              <w:rPr>
                <w:rFonts w:asciiTheme="majorHAnsi" w:hAnsiTheme="majorHAnsi"/>
                <w:color w:val="1F497D" w:themeColor="text2"/>
              </w:rPr>
              <w:t>Keep containers tightly closed and store in a dry, cool, well</w:t>
            </w:r>
            <w:r w:rsidR="004E0C26">
              <w:rPr>
                <w:rFonts w:asciiTheme="majorHAnsi" w:hAnsiTheme="majorHAnsi"/>
                <w:color w:val="1F497D" w:themeColor="text2"/>
              </w:rPr>
              <w:t>-</w:t>
            </w:r>
            <w:r w:rsidRPr="00A45046">
              <w:rPr>
                <w:rFonts w:asciiTheme="majorHAnsi" w:hAnsiTheme="majorHAnsi"/>
                <w:color w:val="1F497D" w:themeColor="text2"/>
              </w:rPr>
              <w:t>ventilated location.</w:t>
            </w:r>
          </w:p>
          <w:p w:rsidR="000E2F46" w:rsidRPr="0062721C" w:rsidRDefault="000E2F46" w:rsidP="00A450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</w:rPr>
            </w:pPr>
            <w:r w:rsidRPr="00A45046">
              <w:rPr>
                <w:rFonts w:asciiTheme="majorHAnsi" w:hAnsiTheme="majorHAnsi"/>
                <w:color w:val="1F497D" w:themeColor="text2"/>
              </w:rPr>
              <w:t>Store only in glass or plastic. Picric acid can react with metals to form explosive metal picrate salts</w:t>
            </w:r>
            <w:r w:rsidR="0062721C">
              <w:rPr>
                <w:rFonts w:asciiTheme="majorHAnsi" w:hAnsiTheme="majorHAnsi"/>
                <w:color w:val="1F497D" w:themeColor="text2"/>
              </w:rPr>
              <w:t>.</w:t>
            </w:r>
          </w:p>
          <w:p w:rsidR="0062721C" w:rsidRPr="00A45046" w:rsidRDefault="0062721C" w:rsidP="00A450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1F497D" w:themeColor="text2"/>
              </w:rPr>
              <w:t>Do not store with: oxidizers, reducing agents, inorganic salts, or metals.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Waste Disposal: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E841BF" w:rsidRDefault="00E841BF" w:rsidP="00F11E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Make sure all waste still has water content. Do not let picric acid waste evaporate to dryness.</w:t>
            </w:r>
          </w:p>
          <w:p w:rsidR="00E841BF" w:rsidRDefault="00E841BF" w:rsidP="00F11E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Immediately call EHS (x-3316) to dispose of picric acid containers that are dry or crystallized.</w:t>
            </w:r>
          </w:p>
          <w:p w:rsidR="000E0C95" w:rsidRPr="00F11E93" w:rsidRDefault="00302CA2" w:rsidP="00F11E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 w:rsidRPr="00F11E93">
              <w:rPr>
                <w:rFonts w:asciiTheme="majorHAnsi" w:hAnsiTheme="majorHAnsi"/>
                <w:bCs/>
                <w:color w:val="1F497D" w:themeColor="text2"/>
              </w:rPr>
              <w:t>Dispose of waste</w:t>
            </w:r>
            <w:r w:rsidR="00F77BBA">
              <w:rPr>
                <w:rFonts w:asciiTheme="majorHAnsi" w:hAnsiTheme="majorHAnsi"/>
                <w:bCs/>
                <w:color w:val="1F497D" w:themeColor="text2"/>
              </w:rPr>
              <w:t xml:space="preserve"> materials in a</w:t>
            </w:r>
            <w:r w:rsidR="001D4A52" w:rsidRPr="00F11E93">
              <w:rPr>
                <w:rFonts w:asciiTheme="majorHAnsi" w:hAnsiTheme="majorHAnsi"/>
                <w:bCs/>
                <w:color w:val="1F497D" w:themeColor="text2"/>
              </w:rPr>
              <w:t xml:space="preserve"> hazardous waste container.</w:t>
            </w:r>
            <w:r w:rsidR="00F77BBA">
              <w:rPr>
                <w:rFonts w:asciiTheme="majorHAnsi" w:hAnsiTheme="majorHAnsi"/>
                <w:bCs/>
                <w:color w:val="1F497D" w:themeColor="text2"/>
              </w:rPr>
              <w:t xml:space="preserve"> Do not pour down the drain.</w:t>
            </w:r>
          </w:p>
          <w:p w:rsidR="004121CC" w:rsidRPr="00F11E93" w:rsidRDefault="001D4A52" w:rsidP="00F77B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bCs/>
              </w:rPr>
            </w:pPr>
            <w:r w:rsidRPr="00F11E93">
              <w:rPr>
                <w:rFonts w:asciiTheme="majorHAnsi" w:hAnsiTheme="majorHAnsi"/>
                <w:bCs/>
                <w:color w:val="1F497D" w:themeColor="text2"/>
              </w:rPr>
              <w:t>Include contaminated wipes, gloves, respirators or clothing in solid waste containers. Do not put in trash.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/>
          <w:bCs/>
        </w:rPr>
      </w:pPr>
    </w:p>
    <w:p w:rsidR="000E0C95" w:rsidRPr="002D4F26" w:rsidRDefault="004121CC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What to do if exposed:</w:t>
      </w:r>
      <w:r w:rsidR="000E0C95"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0656" w:type="dxa"/>
          </w:tcPr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If inhaled</w:t>
            </w: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Remove to fresh air. If not breathing, give artificial respiration. If breathing is difficult, give oxygen. </w:t>
            </w:r>
            <w:r w:rsidR="00A45046">
              <w:rPr>
                <w:rFonts w:asciiTheme="majorHAnsi" w:hAnsiTheme="majorHAnsi" w:cs="Arial"/>
                <w:color w:val="1F497D" w:themeColor="text2"/>
                <w:szCs w:val="20"/>
              </w:rPr>
              <w:t>Seek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medical attention</w:t>
            </w:r>
            <w:r w:rsidR="004E0C26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immediately</w:t>
            </w:r>
            <w:r w:rsidR="00A45046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(Call 911)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</w:t>
            </w: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In case of skin contact</w:t>
            </w:r>
          </w:p>
          <w:p w:rsidR="001D4A52" w:rsidRPr="001D4A52" w:rsidRDefault="001D4A52" w:rsidP="001D4A52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skin with plenty of water for at least 15 minutes while removing contaminated clothing and shoes. </w:t>
            </w:r>
            <w:r w:rsidR="00A45046">
              <w:rPr>
                <w:rFonts w:asciiTheme="majorHAnsi" w:hAnsiTheme="majorHAnsi" w:cs="Arial"/>
                <w:color w:val="1F497D" w:themeColor="text2"/>
                <w:szCs w:val="20"/>
              </w:rPr>
              <w:t>Seek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medical attention immediately</w:t>
            </w:r>
            <w:r w:rsidR="00A45046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(Call 911)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Wash clothing before reuse. Thoroughly clean shoes before reuse. </w:t>
            </w:r>
          </w:p>
          <w:p w:rsidR="001D4A52" w:rsidRPr="001D4A52" w:rsidRDefault="001D4A52" w:rsidP="001D4A52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In case of eye contact</w:t>
            </w:r>
          </w:p>
          <w:p w:rsidR="000E0C95" w:rsidRPr="007C066B" w:rsidRDefault="001D4A52" w:rsidP="00A45046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eyes with plenty of water for at least 15 minutes, lifting lower and upper eyelids occasionally. </w:t>
            </w:r>
            <w:r w:rsidR="00A45046">
              <w:rPr>
                <w:rFonts w:asciiTheme="majorHAnsi" w:hAnsiTheme="majorHAnsi" w:cs="Arial"/>
                <w:color w:val="1F497D" w:themeColor="text2"/>
                <w:szCs w:val="20"/>
              </w:rPr>
              <w:t>Seek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medical attention immediately</w:t>
            </w:r>
            <w:r w:rsidR="004E0C26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(C</w:t>
            </w:r>
            <w:bookmarkStart w:id="0" w:name="_GoBack"/>
            <w:bookmarkEnd w:id="0"/>
            <w:r w:rsidR="00A45046">
              <w:rPr>
                <w:rFonts w:asciiTheme="majorHAnsi" w:hAnsiTheme="majorHAnsi" w:cs="Arial"/>
                <w:color w:val="1F497D" w:themeColor="text2"/>
                <w:szCs w:val="20"/>
              </w:rPr>
              <w:t>all 911</w:t>
            </w:r>
            <w:r w:rsidR="004E0C26">
              <w:rPr>
                <w:rFonts w:asciiTheme="majorHAnsi" w:hAnsiTheme="majorHAnsi" w:cs="Arial"/>
                <w:color w:val="1F497D" w:themeColor="text2"/>
                <w:szCs w:val="20"/>
              </w:rPr>
              <w:t>)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</w:t>
            </w:r>
          </w:p>
        </w:tc>
      </w:tr>
    </w:tbl>
    <w:p w:rsidR="000E0C95" w:rsidRPr="002532B4" w:rsidRDefault="000E0C95" w:rsidP="000E0C95">
      <w:pPr>
        <w:spacing w:after="0" w:line="240" w:lineRule="auto"/>
        <w:ind w:left="360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Spill Procedure: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A45046" w:rsidRPr="00A45046" w:rsidRDefault="00A45046" w:rsidP="00A45046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 w:rsidRPr="00A45046">
              <w:rPr>
                <w:rFonts w:asciiTheme="majorHAnsi" w:hAnsiTheme="majorHAnsi"/>
                <w:b/>
                <w:bCs/>
                <w:color w:val="1F497D" w:themeColor="text2"/>
              </w:rPr>
              <w:t>Incidental (small) spill</w:t>
            </w:r>
            <w:r w:rsidRPr="00A45046">
              <w:rPr>
                <w:rFonts w:asciiTheme="majorHAnsi" w:hAnsiTheme="majorHAnsi"/>
                <w:bCs/>
                <w:color w:val="1F497D" w:themeColor="text2"/>
              </w:rPr>
              <w:t>: Call x-3316 and notify EHS personnel for assistance.</w:t>
            </w:r>
          </w:p>
          <w:p w:rsidR="00A45046" w:rsidRPr="00A45046" w:rsidRDefault="00A45046" w:rsidP="00A45046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</w:p>
          <w:p w:rsidR="007C066B" w:rsidRPr="007F18D1" w:rsidRDefault="00A45046" w:rsidP="00A45046">
            <w:pPr>
              <w:spacing w:after="0" w:line="240" w:lineRule="auto"/>
              <w:rPr>
                <w:bCs/>
              </w:rPr>
            </w:pPr>
            <w:r w:rsidRPr="00A45046">
              <w:rPr>
                <w:rFonts w:asciiTheme="majorHAnsi" w:hAnsiTheme="majorHAnsi"/>
                <w:b/>
                <w:bCs/>
                <w:color w:val="1F497D" w:themeColor="text2"/>
              </w:rPr>
              <w:t>Large spill:</w:t>
            </w:r>
            <w:r w:rsidRPr="00A45046">
              <w:rPr>
                <w:rFonts w:asciiTheme="majorHAnsi" w:hAnsiTheme="majorHAnsi"/>
                <w:bCs/>
                <w:color w:val="1F497D" w:themeColor="text2"/>
              </w:rPr>
              <w:t xml:space="preserve"> Call x-3316 and notify EHS personnel for assistance.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</w:rPr>
      </w:pPr>
      <w:r w:rsidRPr="002D4F26">
        <w:rPr>
          <w:b/>
          <w:bCs/>
          <w:sz w:val="28"/>
        </w:rPr>
        <w:t xml:space="preserve">Training </w:t>
      </w:r>
      <w:r w:rsidR="007C066B" w:rsidRPr="002D4F26">
        <w:rPr>
          <w:b/>
          <w:bCs/>
          <w:sz w:val="28"/>
        </w:rPr>
        <w:t xml:space="preserve">and medical monitoring </w:t>
      </w:r>
      <w:r w:rsidRPr="002D4F26">
        <w:rPr>
          <w:b/>
          <w:bCs/>
          <w:sz w:val="28"/>
        </w:rPr>
        <w:t>of personnel</w:t>
      </w:r>
      <w:r w:rsidRPr="002D4F26">
        <w:rPr>
          <w:b/>
          <w:sz w:val="28"/>
        </w:rPr>
        <w:t>:</w:t>
      </w:r>
      <w:r w:rsidRPr="002D4F26">
        <w:rPr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A45046" w:rsidRPr="00536ED4" w:rsidRDefault="00A45046" w:rsidP="00A450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Hazardous Waste Generator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Safety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 and Picric Acid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with EHS.</w:t>
            </w:r>
          </w:p>
          <w:p w:rsidR="00A45046" w:rsidRPr="007C066B" w:rsidRDefault="00A45046" w:rsidP="00A450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Lab Specific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provided by supervisor that covers: safety expectations, PPE use and storage, SOPs, and emergency response.</w:t>
            </w:r>
          </w:p>
          <w:p w:rsidR="007C066B" w:rsidRPr="007C066B" w:rsidRDefault="007C066B" w:rsidP="007C066B">
            <w:pPr>
              <w:spacing w:after="0" w:line="240" w:lineRule="auto"/>
            </w:pPr>
          </w:p>
        </w:tc>
      </w:tr>
    </w:tbl>
    <w:p w:rsidR="000E0C95" w:rsidRDefault="000E0C95" w:rsidP="000E0C95">
      <w:pPr>
        <w:spacing w:after="20" w:line="240" w:lineRule="auto"/>
      </w:pPr>
    </w:p>
    <w:p w:rsidR="009932D5" w:rsidRDefault="009932D5" w:rsidP="007C066B">
      <w:pPr>
        <w:spacing w:after="0" w:line="240" w:lineRule="auto"/>
        <w:rPr>
          <w:b/>
        </w:rPr>
      </w:pPr>
      <w:r>
        <w:rPr>
          <w:b/>
        </w:rPr>
        <w:t>I have read and understand this SOP. I agree to fu</w:t>
      </w:r>
      <w:r w:rsidR="00B504C2">
        <w:rPr>
          <w:b/>
        </w:rPr>
        <w:t>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12"/>
        <w:gridCol w:w="1593"/>
        <w:gridCol w:w="3261"/>
        <w:gridCol w:w="1608"/>
      </w:tblGrid>
      <w:tr w:rsidR="009932D5" w:rsidTr="00E841B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4121CC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CWID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932D5" w:rsidTr="00E841BF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E841BF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E841BF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E841BF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E841BF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1CC" w:rsidRDefault="004121CC" w:rsidP="009932D5">
      <w:pPr>
        <w:spacing w:after="20" w:line="240" w:lineRule="auto"/>
      </w:pPr>
    </w:p>
    <w:sectPr w:rsidR="004121CC" w:rsidSect="00A9298C">
      <w:footerReference w:type="default" r:id="rId14"/>
      <w:pgSz w:w="12240" w:h="15840"/>
      <w:pgMar w:top="576" w:right="720" w:bottom="576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FB" w:rsidRDefault="009E63FB">
      <w:pPr>
        <w:spacing w:after="0" w:line="240" w:lineRule="auto"/>
      </w:pPr>
      <w:r>
        <w:separator/>
      </w:r>
    </w:p>
  </w:endnote>
  <w:endnote w:type="continuationSeparator" w:id="0">
    <w:p w:rsidR="009E63FB" w:rsidRDefault="009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8C" w:rsidRDefault="00A9298C" w:rsidP="00A9298C">
    <w:pPr>
      <w:pStyle w:val="Footer"/>
      <w:jc w:val="center"/>
    </w:pPr>
    <w:r w:rsidRPr="00050952">
      <w:rPr>
        <w:noProof/>
      </w:rPr>
      <w:drawing>
        <wp:inline distT="0" distB="0" distL="0" distR="0" wp14:anchorId="2A6A2518" wp14:editId="451DE3B5">
          <wp:extent cx="2057400" cy="235512"/>
          <wp:effectExtent l="0" t="0" r="0" b="0"/>
          <wp:docPr id="16" name="Picture 16" descr="C:\Users\zsmith\Desktop\Mines_EEE_4C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mith\Desktop\Mines_EEE_4C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02" cy="25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FB" w:rsidRDefault="009E63FB">
      <w:pPr>
        <w:spacing w:after="0" w:line="240" w:lineRule="auto"/>
      </w:pPr>
      <w:r>
        <w:separator/>
      </w:r>
    </w:p>
  </w:footnote>
  <w:footnote w:type="continuationSeparator" w:id="0">
    <w:p w:rsidR="009E63FB" w:rsidRDefault="009E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7D"/>
    <w:multiLevelType w:val="hybridMultilevel"/>
    <w:tmpl w:val="D9C0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428"/>
    <w:multiLevelType w:val="hybridMultilevel"/>
    <w:tmpl w:val="A57AC2AC"/>
    <w:lvl w:ilvl="0" w:tplc="021C6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10"/>
    <w:multiLevelType w:val="hybridMultilevel"/>
    <w:tmpl w:val="D9DC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E5EB2"/>
    <w:multiLevelType w:val="hybridMultilevel"/>
    <w:tmpl w:val="247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379"/>
    <w:multiLevelType w:val="hybridMultilevel"/>
    <w:tmpl w:val="3288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F27CB"/>
    <w:multiLevelType w:val="hybridMultilevel"/>
    <w:tmpl w:val="A1FE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37C6"/>
    <w:multiLevelType w:val="hybridMultilevel"/>
    <w:tmpl w:val="F00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17EDC"/>
    <w:multiLevelType w:val="hybridMultilevel"/>
    <w:tmpl w:val="1BEEFE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086F8F"/>
    <w:multiLevelType w:val="hybridMultilevel"/>
    <w:tmpl w:val="460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5"/>
    <w:rsid w:val="000403DE"/>
    <w:rsid w:val="00081A79"/>
    <w:rsid w:val="000E0C95"/>
    <w:rsid w:val="000E2F46"/>
    <w:rsid w:val="00143852"/>
    <w:rsid w:val="00164122"/>
    <w:rsid w:val="001C459C"/>
    <w:rsid w:val="001D4A52"/>
    <w:rsid w:val="00236847"/>
    <w:rsid w:val="002678DA"/>
    <w:rsid w:val="002D4F26"/>
    <w:rsid w:val="002E757B"/>
    <w:rsid w:val="002F2CFD"/>
    <w:rsid w:val="00302CA2"/>
    <w:rsid w:val="00386883"/>
    <w:rsid w:val="003D325F"/>
    <w:rsid w:val="004121CC"/>
    <w:rsid w:val="00431824"/>
    <w:rsid w:val="0043737A"/>
    <w:rsid w:val="004440DE"/>
    <w:rsid w:val="00461D7F"/>
    <w:rsid w:val="004759C0"/>
    <w:rsid w:val="004A00EE"/>
    <w:rsid w:val="004D0C51"/>
    <w:rsid w:val="004E0C26"/>
    <w:rsid w:val="004F0B09"/>
    <w:rsid w:val="00564B33"/>
    <w:rsid w:val="005A2BD5"/>
    <w:rsid w:val="005E16BB"/>
    <w:rsid w:val="00625AFA"/>
    <w:rsid w:val="0062721C"/>
    <w:rsid w:val="00660D24"/>
    <w:rsid w:val="006A4ED1"/>
    <w:rsid w:val="006B6569"/>
    <w:rsid w:val="00721AEC"/>
    <w:rsid w:val="007C066B"/>
    <w:rsid w:val="007C1454"/>
    <w:rsid w:val="007E01E5"/>
    <w:rsid w:val="007F419A"/>
    <w:rsid w:val="0084142F"/>
    <w:rsid w:val="0087293B"/>
    <w:rsid w:val="008C3B86"/>
    <w:rsid w:val="009932D5"/>
    <w:rsid w:val="009B4878"/>
    <w:rsid w:val="009E63FB"/>
    <w:rsid w:val="00A45046"/>
    <w:rsid w:val="00A84A8C"/>
    <w:rsid w:val="00A9298C"/>
    <w:rsid w:val="00AA3E22"/>
    <w:rsid w:val="00B1291E"/>
    <w:rsid w:val="00B4231B"/>
    <w:rsid w:val="00B504C2"/>
    <w:rsid w:val="00B90FA9"/>
    <w:rsid w:val="00BD32D7"/>
    <w:rsid w:val="00C10323"/>
    <w:rsid w:val="00C30F3F"/>
    <w:rsid w:val="00C62D2C"/>
    <w:rsid w:val="00C676BE"/>
    <w:rsid w:val="00CA28AA"/>
    <w:rsid w:val="00D0571B"/>
    <w:rsid w:val="00D730E4"/>
    <w:rsid w:val="00D767E7"/>
    <w:rsid w:val="00D82731"/>
    <w:rsid w:val="00D9623B"/>
    <w:rsid w:val="00E841BF"/>
    <w:rsid w:val="00E86A2C"/>
    <w:rsid w:val="00E904D8"/>
    <w:rsid w:val="00EF12D0"/>
    <w:rsid w:val="00F11E93"/>
    <w:rsid w:val="00F2426E"/>
    <w:rsid w:val="00F4572A"/>
    <w:rsid w:val="00F77BBA"/>
    <w:rsid w:val="00F86D0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045FF"/>
  <w15:docId w15:val="{5F47F078-B920-4FE5-BF96-7782E2A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C95"/>
    <w:rPr>
      <w:color w:val="0000EE"/>
      <w:u w:val="single"/>
    </w:rPr>
  </w:style>
  <w:style w:type="character" w:styleId="FollowedHyperlink">
    <w:name w:val="FollowedHyperlink"/>
    <w:uiPriority w:val="99"/>
    <w:semiHidden/>
    <w:unhideWhenUsed/>
    <w:rsid w:val="000E0C95"/>
    <w:rPr>
      <w:color w:val="800080"/>
      <w:u w:val="single"/>
    </w:rPr>
  </w:style>
  <w:style w:type="table" w:styleId="TableGrid">
    <w:name w:val="Table Grid"/>
    <w:basedOn w:val="TableNormal"/>
    <w:uiPriority w:val="59"/>
    <w:rsid w:val="009B4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09"/>
    <w:pPr>
      <w:ind w:left="720"/>
      <w:contextualSpacing/>
    </w:pPr>
  </w:style>
  <w:style w:type="paragraph" w:styleId="NoSpacing">
    <w:name w:val="No Spacing"/>
    <w:uiPriority w:val="1"/>
    <w:qFormat/>
    <w:rsid w:val="001D4A5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Nanomaterials SOP template</vt:lpstr>
    </vt:vector>
  </TitlesOfParts>
  <Company>OESO - DUHS</Company>
  <LinksUpToDate>false</LinksUpToDate>
  <CharactersWithSpaces>4314</CharactersWithSpaces>
  <SharedDoc>false</SharedDoc>
  <HLinks>
    <vt:vector size="42" baseType="variant">
      <vt:variant>
        <vt:i4>3342462</vt:i4>
      </vt:variant>
      <vt:variant>
        <vt:i4>18</vt:i4>
      </vt:variant>
      <vt:variant>
        <vt:i4>0</vt:i4>
      </vt:variant>
      <vt:variant>
        <vt:i4>5</vt:i4>
      </vt:variant>
      <vt:variant>
        <vt:lpwstr>http://www.hr.duke.edu/benefits/medical/workcomp/report.php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http://www.safety.duke.edu/EnvPrograms/Docs/labwastemgt.pdf</vt:lpwstr>
      </vt:variant>
      <vt:variant>
        <vt:lpwstr/>
      </vt:variant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http://www.safety.duke.edu/SafetyManuals/University/Q-Chemwastemgt.pdf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http://www.safety.duke.edu/LabSafety/Docs/SOP for handling animals dosed with toxic chemicals.doc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http://www.safety.duke.edu/OHS/Documents/working_safely_with_toxic_powders.pdf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http://www.safety.duke.edu/OHS/Documents/nanomaterial information sheet.pdf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http://www.safety.duke.edu/OHS/phs.htm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Nanomaterials SOP template</dc:title>
  <dc:creator>Courtney Stanion</dc:creator>
  <cp:keywords>nanomaterials, nanoparticles, nano</cp:keywords>
  <cp:lastModifiedBy>Zachary Smith</cp:lastModifiedBy>
  <cp:revision>15</cp:revision>
  <cp:lastPrinted>2016-04-08T14:40:00Z</cp:lastPrinted>
  <dcterms:created xsi:type="dcterms:W3CDTF">2018-04-09T15:08:00Z</dcterms:created>
  <dcterms:modified xsi:type="dcterms:W3CDTF">2018-06-22T14:39:00Z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