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660D24">
      <w:pPr>
        <w:spacing w:after="0" w:line="240" w:lineRule="auto"/>
        <w:ind w:left="360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63687E" w:rsidP="00660D24">
      <w:pPr>
        <w:spacing w:after="0" w:line="240" w:lineRule="auto"/>
        <w:ind w:left="360"/>
        <w:jc w:val="center"/>
        <w:rPr>
          <w:b/>
          <w:sz w:val="40"/>
        </w:rPr>
      </w:pPr>
      <w:r>
        <w:rPr>
          <w:b/>
          <w:sz w:val="40"/>
        </w:rPr>
        <w:t>Piranha Solution</w:t>
      </w:r>
    </w:p>
    <w:p w:rsidR="004440DE" w:rsidRDefault="007033EF" w:rsidP="00EF12D0">
      <w:pPr>
        <w:spacing w:after="0" w:line="240" w:lineRule="auto"/>
        <w:ind w:left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>
            <v:imagedata r:id="rId7" o:title="Corrosion"/>
          </v:shape>
        </w:pict>
      </w:r>
      <w:r w:rsidR="00EF12D0" w:rsidRPr="00EF12D0">
        <w:rPr>
          <w:noProof/>
        </w:rPr>
        <w:drawing>
          <wp:inline distT="0" distB="0" distL="0" distR="0">
            <wp:extent cx="749808" cy="749808"/>
            <wp:effectExtent l="0" t="0" r="0" b="0"/>
            <wp:docPr id="6" name="Picture 6" descr="C:\Users\zsmith\Desktop\GHS\OXIDIZ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mith\Desktop\GHS\OXIDIZER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5"/>
        <w:gridCol w:w="448"/>
        <w:gridCol w:w="1153"/>
        <w:gridCol w:w="4131"/>
        <w:gridCol w:w="809"/>
        <w:gridCol w:w="177"/>
        <w:gridCol w:w="3205"/>
      </w:tblGrid>
      <w:tr w:rsidR="004440DE" w:rsidRPr="00431824" w:rsidTr="00D767E7">
        <w:tc>
          <w:tcPr>
            <w:tcW w:w="2226" w:type="dxa"/>
            <w:gridSpan w:val="3"/>
          </w:tcPr>
          <w:p w:rsidR="004440DE" w:rsidRPr="00431824" w:rsidRDefault="004440DE" w:rsidP="004440DE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Chemical name, CAS:</w:t>
            </w:r>
          </w:p>
        </w:tc>
        <w:tc>
          <w:tcPr>
            <w:tcW w:w="8412" w:type="dxa"/>
            <w:gridSpan w:val="4"/>
          </w:tcPr>
          <w:p w:rsidR="004440DE" w:rsidRPr="00431824" w:rsidRDefault="0063687E" w:rsidP="004440DE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Piranha Solution</w:t>
            </w:r>
            <w:r w:rsidR="004440DE" w:rsidRPr="00431824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</w:t>
            </w:r>
          </w:p>
        </w:tc>
      </w:tr>
      <w:tr w:rsidR="00660D24" w:rsidRPr="00431824" w:rsidTr="00D767E7">
        <w:tc>
          <w:tcPr>
            <w:tcW w:w="613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95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42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D767E7">
        <w:tc>
          <w:tcPr>
            <w:tcW w:w="1062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346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8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42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B4231B" w:rsidRDefault="0063687E" w:rsidP="004440DE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Piranha solution is a mixture of sulfuric acid and 30% hydrogen peroxide (usually in a 3:1 ratio) used commonly to remove organic residues, particularly in microfabrication laboratories.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E0A7D">
        <w:tc>
          <w:tcPr>
            <w:tcW w:w="10412" w:type="dxa"/>
          </w:tcPr>
          <w:p w:rsidR="004440DE" w:rsidRPr="0085652D" w:rsidRDefault="0063687E" w:rsidP="004D19F5">
            <w:pPr>
              <w:spacing w:after="0" w:line="240" w:lineRule="auto"/>
            </w:pPr>
            <w:r>
              <w:rPr>
                <w:rFonts w:asciiTheme="majorHAnsi" w:hAnsiTheme="majorHAnsi"/>
                <w:color w:val="1F497D" w:themeColor="text2"/>
              </w:rPr>
              <w:t>Skin or eye exposure to piranha solution will cause serious burns</w:t>
            </w:r>
            <w:r w:rsidR="00BE776D">
              <w:rPr>
                <w:rFonts w:asciiTheme="majorHAnsi" w:hAnsiTheme="majorHAnsi"/>
                <w:color w:val="1F497D" w:themeColor="text2"/>
              </w:rPr>
              <w:t>. Inhalation of corrosive piranha solution vapor can be destructive to mucosal membranes and the respiratory tract. Piranha solutions are extremely oxidizing and may react explosively with incompatible materials especially org</w:t>
            </w:r>
            <w:r w:rsidR="004D19F5">
              <w:rPr>
                <w:rFonts w:asciiTheme="majorHAnsi" w:hAnsiTheme="majorHAnsi"/>
                <w:color w:val="1F497D" w:themeColor="text2"/>
              </w:rPr>
              <w:t xml:space="preserve">anics. </w:t>
            </w: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4D19F5" w:rsidRPr="00536ED4" w:rsidRDefault="004D19F5" w:rsidP="004D19F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 xml:space="preserve">All work must be conducted in a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hood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labelled: “DANGER, </w:t>
            </w:r>
            <w:r>
              <w:rPr>
                <w:rFonts w:asciiTheme="majorHAnsi" w:hAnsiTheme="majorHAnsi"/>
                <w:color w:val="1F497D" w:themeColor="text2"/>
              </w:rPr>
              <w:t>Piranha Solution</w:t>
            </w:r>
            <w:r w:rsidRPr="00536ED4">
              <w:rPr>
                <w:rFonts w:asciiTheme="majorHAnsi" w:hAnsiTheme="majorHAnsi"/>
                <w:color w:val="1F497D" w:themeColor="text2"/>
              </w:rPr>
              <w:t>”</w:t>
            </w:r>
          </w:p>
          <w:p w:rsidR="004D19F5" w:rsidRPr="005C50D2" w:rsidRDefault="004D19F5" w:rsidP="004D19F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C50D2">
              <w:rPr>
                <w:rFonts w:asciiTheme="majorHAnsi" w:hAnsiTheme="majorHAnsi"/>
                <w:color w:val="1F497D" w:themeColor="text2"/>
              </w:rPr>
              <w:t>Do not store any organic materials</w:t>
            </w:r>
            <w:r>
              <w:rPr>
                <w:rFonts w:asciiTheme="majorHAnsi" w:hAnsiTheme="majorHAnsi"/>
                <w:color w:val="1F497D" w:themeColor="text2"/>
              </w:rPr>
              <w:t xml:space="preserve"> (e.g. solvents)</w:t>
            </w:r>
            <w:r w:rsidRPr="005C50D2">
              <w:rPr>
                <w:rFonts w:asciiTheme="majorHAnsi" w:hAnsiTheme="majorHAnsi"/>
                <w:color w:val="1F497D" w:themeColor="text2"/>
              </w:rPr>
              <w:t xml:space="preserve"> or other incompatible</w:t>
            </w:r>
            <w:r>
              <w:rPr>
                <w:rFonts w:asciiTheme="majorHAnsi" w:hAnsiTheme="majorHAnsi"/>
                <w:color w:val="1F497D" w:themeColor="text2"/>
              </w:rPr>
              <w:t xml:space="preserve"> chemicals</w:t>
            </w:r>
            <w:r w:rsidRPr="005C50D2">
              <w:rPr>
                <w:rFonts w:asciiTheme="majorHAnsi" w:hAnsiTheme="majorHAnsi"/>
                <w:color w:val="1F497D" w:themeColor="text2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</w:rPr>
              <w:t>in the lab hood while working with piranha solution.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>Access to an eyewash and safety shower must be</w:t>
            </w:r>
            <w:r>
              <w:rPr>
                <w:rFonts w:asciiTheme="majorHAnsi" w:hAnsiTheme="majorHAnsi"/>
                <w:color w:val="1F497D" w:themeColor="text2"/>
              </w:rPr>
              <w:t xml:space="preserve"> readily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available.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Laboratory h</w:t>
            </w:r>
            <w:r w:rsidRPr="00536ED4">
              <w:rPr>
                <w:rFonts w:asciiTheme="majorHAnsi" w:hAnsiTheme="majorHAnsi"/>
                <w:color w:val="1F497D" w:themeColor="text2"/>
              </w:rPr>
              <w:t>ood sash height should be kept low to minimize escaping fumes and provide protection from splashes.</w:t>
            </w:r>
          </w:p>
          <w:p w:rsidR="000E0C95" w:rsidRPr="004D19F5" w:rsidRDefault="004D19F5" w:rsidP="004D19F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4D19F5">
              <w:rPr>
                <w:rFonts w:asciiTheme="majorHAnsi" w:hAnsiTheme="majorHAnsi"/>
                <w:color w:val="1F497D" w:themeColor="text2"/>
              </w:rPr>
              <w:t>The lab personnel must have easy access to a telephone (landline or cell phone).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904D8">
        <w:tc>
          <w:tcPr>
            <w:tcW w:w="11016" w:type="dxa"/>
          </w:tcPr>
          <w:p w:rsid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Substitute a safer chemical whenever possible. NEVER use piranha solution for routine glass cleaning.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81536C">
              <w:rPr>
                <w:rFonts w:asciiTheme="majorHAnsi" w:hAnsiTheme="majorHAnsi"/>
                <w:color w:val="1F497D" w:themeColor="text2"/>
              </w:rPr>
              <w:t>Ensure that you have all t</w:t>
            </w:r>
            <w:r>
              <w:rPr>
                <w:rFonts w:asciiTheme="majorHAnsi" w:hAnsiTheme="majorHAnsi"/>
                <w:color w:val="1F497D" w:themeColor="text2"/>
              </w:rPr>
              <w:t>he PPE required for handling piranha solution.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D51E6F">
              <w:rPr>
                <w:rFonts w:asciiTheme="majorHAnsi" w:hAnsiTheme="majorHAnsi"/>
                <w:b/>
                <w:color w:val="1F497D" w:themeColor="text2"/>
              </w:rPr>
              <w:t>Do not leave any skin exposed</w:t>
            </w:r>
            <w:r>
              <w:rPr>
                <w:rFonts w:asciiTheme="majorHAnsi" w:hAnsiTheme="majorHAnsi"/>
                <w:color w:val="1F497D" w:themeColor="text2"/>
              </w:rPr>
              <w:t xml:space="preserve"> when handing piranha solution.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D51E6F">
              <w:rPr>
                <w:rFonts w:asciiTheme="majorHAnsi" w:hAnsiTheme="majorHAnsi"/>
                <w:b/>
                <w:color w:val="1F497D" w:themeColor="text2"/>
              </w:rPr>
              <w:t>Never work alone</w:t>
            </w:r>
            <w:r>
              <w:rPr>
                <w:rFonts w:asciiTheme="majorHAnsi" w:hAnsiTheme="majorHAnsi"/>
                <w:color w:val="1F497D" w:themeColor="text2"/>
              </w:rPr>
              <w:t>, and inform others in the immediate area when you are working with piranha solution.</w:t>
            </w:r>
          </w:p>
          <w:p w:rsidR="004D19F5" w:rsidRP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4D19F5">
              <w:rPr>
                <w:rFonts w:asciiTheme="majorHAnsi" w:hAnsiTheme="majorHAnsi"/>
                <w:color w:val="1F497D" w:themeColor="text2"/>
              </w:rPr>
              <w:t>Prepare piranha solution immediately prior to using by slowly adding hydrogen peroxide to the sulfuric acid.</w:t>
            </w:r>
          </w:p>
          <w:p w:rsidR="004D19F5" w:rsidRPr="002806B1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 xml:space="preserve">Ensure only </w:t>
            </w:r>
            <w:r w:rsidRPr="004D19F5">
              <w:rPr>
                <w:rFonts w:asciiTheme="majorHAnsi" w:hAnsiTheme="majorHAnsi"/>
                <w:b/>
                <w:color w:val="1F497D" w:themeColor="text2"/>
              </w:rPr>
              <w:t>rinsed and dried substrates</w:t>
            </w:r>
            <w:r>
              <w:rPr>
                <w:rFonts w:asciiTheme="majorHAnsi" w:hAnsiTheme="majorHAnsi"/>
                <w:color w:val="1F497D" w:themeColor="text2"/>
              </w:rPr>
              <w:t xml:space="preserve"> are inserted into piranha solution.</w:t>
            </w:r>
          </w:p>
          <w:p w:rsidR="004D19F5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Always use secondary containment when pouring or transferring piranha solution.</w:t>
            </w:r>
          </w:p>
          <w:p w:rsidR="00143852" w:rsidRPr="001D4A52" w:rsidRDefault="004D19F5" w:rsidP="004D19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</w:t>
            </w:r>
            <w:r w:rsidRPr="0081536C">
              <w:rPr>
                <w:rFonts w:asciiTheme="majorHAnsi" w:hAnsiTheme="majorHAnsi"/>
                <w:color w:val="1F497D" w:themeColor="text2"/>
              </w:rPr>
              <w:t>ab emergency contact information must be readily available.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10544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3"/>
        <w:gridCol w:w="1603"/>
        <w:gridCol w:w="2526"/>
      </w:tblGrid>
      <w:tr w:rsidR="003A2DD1" w:rsidRPr="002532B4" w:rsidTr="003A2DD1">
        <w:trPr>
          <w:trHeight w:val="350"/>
        </w:trPr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4ABFB5" wp14:editId="5AA96F79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266460" wp14:editId="28E59489">
                  <wp:extent cx="752475" cy="752475"/>
                  <wp:effectExtent l="0" t="0" r="9525" b="9525"/>
                  <wp:docPr id="8" name="Picture 8" descr="C:\Users\zsmith\AppData\Local\Microsoft\Windows\INetCache\Content.Word\Ap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zsmith\AppData\Local\Microsoft\Windows\INetCache\Content.Word\Ap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278F" wp14:editId="717A5FFB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577CCA" w:rsidRDefault="003A2DD1" w:rsidP="003A2DD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C10183" wp14:editId="4D63FCFE">
                  <wp:extent cx="752475" cy="752475"/>
                  <wp:effectExtent l="0" t="0" r="9525" b="9525"/>
                  <wp:docPr id="11" name="Picture 11" descr="C:\Users\zsmith\AppData\Local\Microsoft\Windows\INetCache\Content.Word\Face 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zsmith\AppData\Local\Microsoft\Windows\INetCache\Content.Word\Face 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D1" w:rsidRPr="00577CCA" w:rsidRDefault="003A2DD1" w:rsidP="00577CCA"/>
        </w:tc>
        <w:tc>
          <w:tcPr>
            <w:tcW w:w="1603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ED869A" wp14:editId="26516BC2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1C9FB297" wp14:editId="35931EC7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D1" w:rsidRPr="002532B4" w:rsidRDefault="003A2DD1" w:rsidP="003A2DD1">
            <w:pPr>
              <w:spacing w:after="0" w:line="240" w:lineRule="auto"/>
              <w:jc w:val="center"/>
            </w:pPr>
          </w:p>
        </w:tc>
      </w:tr>
      <w:tr w:rsidR="003A2DD1" w:rsidRPr="002532B4" w:rsidTr="003A2DD1">
        <w:trPr>
          <w:trHeight w:val="350"/>
        </w:trPr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t>Lab Coat</w:t>
            </w:r>
          </w:p>
        </w:tc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t>Chemical Resistant Apron</w:t>
            </w:r>
          </w:p>
        </w:tc>
        <w:tc>
          <w:tcPr>
            <w:tcW w:w="1604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t>Splash Goggles</w:t>
            </w:r>
          </w:p>
        </w:tc>
        <w:tc>
          <w:tcPr>
            <w:tcW w:w="1603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t>Face Shield</w:t>
            </w:r>
          </w:p>
        </w:tc>
        <w:tc>
          <w:tcPr>
            <w:tcW w:w="1603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>
              <w:t>Gloves</w:t>
            </w:r>
          </w:p>
        </w:tc>
        <w:tc>
          <w:tcPr>
            <w:tcW w:w="2526" w:type="dxa"/>
          </w:tcPr>
          <w:p w:rsidR="003A2DD1" w:rsidRDefault="003A2DD1" w:rsidP="003A2DD1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lastRenderedPageBreak/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924562" w:rsidRPr="0092456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/>
                <w:color w:val="1F497D" w:themeColor="text2"/>
              </w:rPr>
            </w:pPr>
            <w:r w:rsidRPr="00924562">
              <w:rPr>
                <w:rFonts w:asciiTheme="majorHAnsi" w:hAnsiTheme="majorHAnsi"/>
                <w:color w:val="1F497D" w:themeColor="text2"/>
              </w:rPr>
              <w:t xml:space="preserve">Store piranha solution only in </w:t>
            </w:r>
            <w:proofErr w:type="spellStart"/>
            <w:proofErr w:type="gramStart"/>
            <w:r w:rsidRPr="00924562">
              <w:rPr>
                <w:rFonts w:asciiTheme="majorHAnsi" w:hAnsiTheme="majorHAnsi"/>
                <w:b/>
                <w:color w:val="1F497D" w:themeColor="text2"/>
              </w:rPr>
              <w:t>pyrex</w:t>
            </w:r>
            <w:proofErr w:type="spellEnd"/>
            <w:proofErr w:type="gramEnd"/>
            <w:r w:rsidRPr="00924562">
              <w:rPr>
                <w:rFonts w:asciiTheme="majorHAnsi" w:hAnsiTheme="majorHAnsi"/>
                <w:b/>
                <w:color w:val="1F497D" w:themeColor="text2"/>
              </w:rPr>
              <w:t xml:space="preserve"> glass or PTFE/Teflon containers.</w:t>
            </w:r>
          </w:p>
          <w:p w:rsidR="00924562" w:rsidRPr="0092456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/>
                <w:color w:val="1F497D" w:themeColor="text2"/>
              </w:rPr>
            </w:pPr>
            <w:r w:rsidRPr="00924562">
              <w:rPr>
                <w:rFonts w:asciiTheme="majorHAnsi" w:hAnsiTheme="majorHAnsi"/>
                <w:b/>
                <w:color w:val="1F497D" w:themeColor="text2"/>
              </w:rPr>
              <w:t xml:space="preserve">Do not use air tight/capped </w:t>
            </w:r>
            <w:proofErr w:type="gramStart"/>
            <w:r w:rsidRPr="00924562">
              <w:rPr>
                <w:rFonts w:asciiTheme="majorHAnsi" w:hAnsiTheme="majorHAnsi"/>
                <w:b/>
                <w:color w:val="1F497D" w:themeColor="text2"/>
              </w:rPr>
              <w:t>containers.</w:t>
            </w:r>
            <w:proofErr w:type="gramEnd"/>
            <w:r w:rsidRPr="00924562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Pr="00924562">
              <w:rPr>
                <w:rFonts w:asciiTheme="majorHAnsi" w:hAnsiTheme="majorHAnsi"/>
                <w:color w:val="1F497D" w:themeColor="text2"/>
              </w:rPr>
              <w:t>Containers must be stored using a vented cap to prevent explosion.</w:t>
            </w:r>
          </w:p>
          <w:p w:rsidR="00924562" w:rsidRPr="0092456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/>
                <w:color w:val="1F497D" w:themeColor="text2"/>
              </w:rPr>
            </w:pPr>
            <w:r w:rsidRPr="00924562">
              <w:rPr>
                <w:rFonts w:asciiTheme="majorHAnsi" w:hAnsiTheme="majorHAnsi"/>
                <w:color w:val="1F497D" w:themeColor="text2"/>
              </w:rPr>
              <w:t>Allow piranha solution to cool before transferring to another container.</w:t>
            </w:r>
          </w:p>
          <w:p w:rsidR="00924562" w:rsidRPr="005C50D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 w:rsidRPr="005C50D2">
              <w:rPr>
                <w:rFonts w:asciiTheme="majorHAnsi" w:hAnsiTheme="majorHAnsi"/>
                <w:color w:val="1F497D" w:themeColor="text2"/>
              </w:rPr>
              <w:t>Store compounds in containers clearly labeled with contents. Keep conta</w:t>
            </w:r>
            <w:r>
              <w:rPr>
                <w:rFonts w:asciiTheme="majorHAnsi" w:hAnsiTheme="majorHAnsi"/>
                <w:color w:val="1F497D" w:themeColor="text2"/>
              </w:rPr>
              <w:t>iners in secondary containment.</w:t>
            </w:r>
          </w:p>
          <w:p w:rsidR="00924562" w:rsidRPr="005C50D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 w:rsidRPr="005C50D2">
              <w:rPr>
                <w:rFonts w:asciiTheme="majorHAnsi" w:hAnsiTheme="majorHAnsi"/>
                <w:color w:val="1F497D" w:themeColor="text2"/>
              </w:rPr>
              <w:t xml:space="preserve">Keep containers tightly closed and store in a dry, cool, </w:t>
            </w:r>
            <w:r>
              <w:rPr>
                <w:rFonts w:asciiTheme="majorHAnsi" w:hAnsiTheme="majorHAnsi"/>
                <w:color w:val="1F497D" w:themeColor="text2"/>
              </w:rPr>
              <w:t xml:space="preserve">dark, </w:t>
            </w:r>
            <w:r w:rsidRPr="005C50D2">
              <w:rPr>
                <w:rFonts w:asciiTheme="majorHAnsi" w:hAnsiTheme="majorHAnsi"/>
                <w:color w:val="1F497D" w:themeColor="text2"/>
              </w:rPr>
              <w:t>well ventilated location.</w:t>
            </w:r>
          </w:p>
          <w:p w:rsidR="00924562" w:rsidRPr="00360A3D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1F497D" w:themeColor="text2"/>
              </w:rPr>
              <w:t>Separate from all other chemicals.</w:t>
            </w:r>
          </w:p>
          <w:p w:rsidR="004121CC" w:rsidRPr="00924562" w:rsidRDefault="00924562" w:rsidP="00924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Never store piranha solution for long periods of time.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924562" w:rsidRPr="00360A3D" w:rsidRDefault="00924562" w:rsidP="009245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360A3D">
              <w:rPr>
                <w:rFonts w:asciiTheme="majorHAnsi" w:hAnsiTheme="majorHAnsi"/>
                <w:bCs/>
                <w:color w:val="1F497D" w:themeColor="text2"/>
              </w:rPr>
              <w:t>Dispose of waste materials in a solid hazardous waste container.</w:t>
            </w:r>
          </w:p>
          <w:p w:rsidR="00924562" w:rsidRPr="00924562" w:rsidRDefault="00924562" w:rsidP="009245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bCs/>
              </w:rPr>
            </w:pPr>
            <w:r w:rsidRPr="00360A3D">
              <w:rPr>
                <w:rFonts w:asciiTheme="majorHAnsi" w:hAnsiTheme="majorHAnsi"/>
                <w:bCs/>
                <w:color w:val="1F497D" w:themeColor="text2"/>
              </w:rPr>
              <w:t>Include contaminated wipes, gloves, or clothing in solid waste containers. Do not put in regular trash.</w:t>
            </w:r>
          </w:p>
          <w:p w:rsidR="00924562" w:rsidRPr="00924562" w:rsidRDefault="00924562" w:rsidP="009245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bCs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 xml:space="preserve">Piranha solution waste </w:t>
            </w:r>
            <w:r w:rsidRPr="00924562">
              <w:rPr>
                <w:rFonts w:asciiTheme="majorHAnsi" w:hAnsiTheme="majorHAnsi"/>
                <w:b/>
                <w:bCs/>
                <w:color w:val="1F497D" w:themeColor="text2"/>
              </w:rPr>
              <w:t>must be stored in a vented container</w:t>
            </w:r>
            <w:r>
              <w:rPr>
                <w:rFonts w:asciiTheme="majorHAnsi" w:hAnsiTheme="majorHAnsi"/>
                <w:bCs/>
                <w:color w:val="1F497D" w:themeColor="text2"/>
              </w:rPr>
              <w:t>. Call EHS for a vented lid or container.</w:t>
            </w:r>
          </w:p>
          <w:p w:rsidR="004121CC" w:rsidRPr="00924562" w:rsidRDefault="00924562" w:rsidP="009245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bCs/>
              </w:rPr>
            </w:pPr>
            <w:r w:rsidRPr="00924562">
              <w:rPr>
                <w:rFonts w:asciiTheme="majorHAnsi" w:hAnsiTheme="majorHAnsi"/>
                <w:b/>
                <w:bCs/>
                <w:color w:val="1F497D" w:themeColor="text2"/>
              </w:rPr>
              <w:t xml:space="preserve">Do not mix </w:t>
            </w:r>
            <w:r>
              <w:rPr>
                <w:rFonts w:asciiTheme="majorHAnsi" w:hAnsiTheme="majorHAnsi"/>
                <w:b/>
                <w:bCs/>
                <w:color w:val="1F497D" w:themeColor="text2"/>
              </w:rPr>
              <w:t>piranha solution</w:t>
            </w:r>
            <w:r w:rsidRPr="00924562">
              <w:rPr>
                <w:rFonts w:asciiTheme="majorHAnsi" w:hAnsiTheme="majorHAnsi"/>
                <w:b/>
                <w:bCs/>
                <w:color w:val="1F497D" w:themeColor="text2"/>
              </w:rPr>
              <w:t xml:space="preserve"> with any other wastes. Clearly label waste.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924562" w:rsidRPr="00924562" w:rsidRDefault="00924562" w:rsidP="00924562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924562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If inhaled</w:t>
            </w: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</w:pPr>
            <w:r w:rsidRPr="00924562"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  <w:t>Remove to fresh air. If not breathing, give artificial respiration. Avoid mouth contact. If breathing is difficult, give oxygen. Seek medical attention immediately (Call 911).</w:t>
            </w: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eastAsiaTheme="minorHAnsi" w:hAnsiTheme="majorHAnsi" w:cs="Arial"/>
                <w:color w:val="1F497D" w:themeColor="text2"/>
                <w:szCs w:val="20"/>
              </w:rPr>
            </w:pP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924562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In case of skin contact</w:t>
            </w: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92456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skin with plenty of water for at least 15 minutes while removing any contaminated clothing and shoes.  Seek medical attention immediately (Call 911). </w:t>
            </w: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</w:pPr>
            <w:r w:rsidRPr="00924562">
              <w:rPr>
                <w:rFonts w:asciiTheme="majorHAnsi" w:eastAsiaTheme="minorHAnsi" w:hAnsiTheme="majorHAnsi" w:cs="Arial"/>
                <w:b/>
                <w:color w:val="1F497D" w:themeColor="text2"/>
                <w:szCs w:val="20"/>
              </w:rPr>
              <w:t>In case of eye contact</w:t>
            </w:r>
          </w:p>
          <w:p w:rsidR="000E0C95" w:rsidRPr="007C066B" w:rsidRDefault="00924562" w:rsidP="0092456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924562">
              <w:rPr>
                <w:rFonts w:asciiTheme="majorHAnsi" w:eastAsia="Calibri" w:hAnsiTheme="majorHAnsi" w:cs="Arial"/>
                <w:color w:val="1F497D" w:themeColor="text2"/>
                <w:szCs w:val="20"/>
              </w:rPr>
              <w:t>Immediately flush eyes with plenty of water for at least 15 minutes, lifting lower and upper eyelids occasionally. Seek medical attention immediately (Call 911).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924562" w:rsidRPr="00924562" w:rsidRDefault="00924562" w:rsidP="00924562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 w:rsidRPr="00924562">
              <w:rPr>
                <w:rFonts w:asciiTheme="majorHAnsi" w:hAnsiTheme="majorHAnsi"/>
                <w:b/>
                <w:bCs/>
                <w:color w:val="1F497D" w:themeColor="text2"/>
              </w:rPr>
              <w:t>Incidental (small) spill</w:t>
            </w:r>
            <w:r w:rsidRPr="00924562">
              <w:rPr>
                <w:rFonts w:asciiTheme="majorHAnsi" w:hAnsiTheme="majorHAnsi"/>
                <w:bCs/>
                <w:color w:val="1F497D" w:themeColor="text2"/>
              </w:rPr>
              <w:t>: Call x-3316 and notify EHS personnel for assistance.</w:t>
            </w:r>
          </w:p>
          <w:p w:rsidR="00924562" w:rsidRPr="00924562" w:rsidRDefault="00924562" w:rsidP="00924562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</w:p>
          <w:p w:rsidR="007C066B" w:rsidRPr="007F18D1" w:rsidRDefault="00924562" w:rsidP="00924562">
            <w:pPr>
              <w:spacing w:after="0" w:line="240" w:lineRule="auto"/>
              <w:rPr>
                <w:bCs/>
              </w:rPr>
            </w:pPr>
            <w:r w:rsidRPr="00924562">
              <w:rPr>
                <w:rFonts w:asciiTheme="majorHAnsi" w:hAnsiTheme="majorHAnsi"/>
                <w:b/>
                <w:bCs/>
                <w:color w:val="1F497D" w:themeColor="text2"/>
              </w:rPr>
              <w:t>Large spill</w:t>
            </w:r>
            <w:r w:rsidRPr="00924562">
              <w:rPr>
                <w:rFonts w:asciiTheme="majorHAnsi" w:hAnsiTheme="majorHAnsi"/>
                <w:bCs/>
                <w:color w:val="1F497D" w:themeColor="text2"/>
              </w:rPr>
              <w:t>: Call x-3316 and notify EHS personnel for assistance.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924562" w:rsidRPr="00536ED4" w:rsidRDefault="00924562" w:rsidP="009245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>
              <w:rPr>
                <w:rFonts w:asciiTheme="majorHAnsi" w:hAnsiTheme="majorHAnsi"/>
                <w:b/>
                <w:color w:val="1F497D" w:themeColor="text2"/>
              </w:rPr>
              <w:t>, and Piranha Solution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EHS.</w:t>
            </w:r>
          </w:p>
          <w:p w:rsidR="00924562" w:rsidRPr="007C066B" w:rsidRDefault="00924562" w:rsidP="009245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safety expectations, PPE use and storage, SOPs, and emergency response.</w:t>
            </w:r>
          </w:p>
          <w:p w:rsidR="007C066B" w:rsidRPr="007C066B" w:rsidRDefault="007C066B" w:rsidP="007C066B">
            <w:pPr>
              <w:spacing w:after="0" w:line="240" w:lineRule="auto"/>
            </w:pPr>
          </w:p>
        </w:tc>
      </w:tr>
    </w:tbl>
    <w:p w:rsidR="000E0C95" w:rsidRDefault="000E0C95" w:rsidP="000E0C95">
      <w:pPr>
        <w:spacing w:after="20" w:line="240" w:lineRule="auto"/>
      </w:pPr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6B65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6B656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7033EF">
      <w:pPr>
        <w:spacing w:after="20" w:line="240" w:lineRule="auto"/>
      </w:pPr>
      <w:bookmarkStart w:id="0" w:name="_GoBack"/>
      <w:bookmarkEnd w:id="0"/>
    </w:p>
    <w:sectPr w:rsidR="004121CC" w:rsidSect="00577CCA">
      <w:footerReference w:type="default" r:id="rId15"/>
      <w:pgSz w:w="12240" w:h="15840"/>
      <w:pgMar w:top="576" w:right="720" w:bottom="576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A" w:rsidRDefault="00577CCA" w:rsidP="00577CCA">
    <w:pPr>
      <w:pStyle w:val="Footer"/>
      <w:jc w:val="center"/>
    </w:pPr>
    <w:r w:rsidRPr="00050952">
      <w:rPr>
        <w:noProof/>
      </w:rPr>
      <w:drawing>
        <wp:inline distT="0" distB="0" distL="0" distR="0" wp14:anchorId="2A6A2518" wp14:editId="451DE3B5">
          <wp:extent cx="2057400" cy="235512"/>
          <wp:effectExtent l="0" t="0" r="0" b="0"/>
          <wp:docPr id="3" name="Picture 3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EB2"/>
    <w:multiLevelType w:val="hybridMultilevel"/>
    <w:tmpl w:val="247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3A6C"/>
    <w:multiLevelType w:val="hybridMultilevel"/>
    <w:tmpl w:val="252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4B7095B"/>
    <w:multiLevelType w:val="hybridMultilevel"/>
    <w:tmpl w:val="163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81A79"/>
    <w:rsid w:val="000E0C95"/>
    <w:rsid w:val="00143852"/>
    <w:rsid w:val="00164122"/>
    <w:rsid w:val="001C459C"/>
    <w:rsid w:val="001D4A52"/>
    <w:rsid w:val="00236847"/>
    <w:rsid w:val="002678DA"/>
    <w:rsid w:val="002D4F26"/>
    <w:rsid w:val="002E757B"/>
    <w:rsid w:val="002F2CFD"/>
    <w:rsid w:val="00302CA2"/>
    <w:rsid w:val="00386883"/>
    <w:rsid w:val="003A2DD1"/>
    <w:rsid w:val="004121CC"/>
    <w:rsid w:val="00431824"/>
    <w:rsid w:val="0043737A"/>
    <w:rsid w:val="004440DE"/>
    <w:rsid w:val="004759C0"/>
    <w:rsid w:val="004A00EE"/>
    <w:rsid w:val="004D0C51"/>
    <w:rsid w:val="004D19F5"/>
    <w:rsid w:val="004F0B09"/>
    <w:rsid w:val="00564B33"/>
    <w:rsid w:val="00577CCA"/>
    <w:rsid w:val="005A2BD5"/>
    <w:rsid w:val="005E16BB"/>
    <w:rsid w:val="00625AFA"/>
    <w:rsid w:val="0063687E"/>
    <w:rsid w:val="00660D24"/>
    <w:rsid w:val="006A4ED1"/>
    <w:rsid w:val="006B6569"/>
    <w:rsid w:val="007033EF"/>
    <w:rsid w:val="00721AEC"/>
    <w:rsid w:val="007C066B"/>
    <w:rsid w:val="007E01E5"/>
    <w:rsid w:val="007F419A"/>
    <w:rsid w:val="0084142F"/>
    <w:rsid w:val="0087293B"/>
    <w:rsid w:val="008C3B86"/>
    <w:rsid w:val="00924562"/>
    <w:rsid w:val="009932D5"/>
    <w:rsid w:val="009B4878"/>
    <w:rsid w:val="009E63FB"/>
    <w:rsid w:val="00A84A8C"/>
    <w:rsid w:val="00AA3E22"/>
    <w:rsid w:val="00B1291E"/>
    <w:rsid w:val="00B4231B"/>
    <w:rsid w:val="00B504C2"/>
    <w:rsid w:val="00BD32D7"/>
    <w:rsid w:val="00BE776D"/>
    <w:rsid w:val="00C10323"/>
    <w:rsid w:val="00C30F3F"/>
    <w:rsid w:val="00C62D2C"/>
    <w:rsid w:val="00C676BE"/>
    <w:rsid w:val="00CA28AA"/>
    <w:rsid w:val="00D730E4"/>
    <w:rsid w:val="00D767E7"/>
    <w:rsid w:val="00D9623B"/>
    <w:rsid w:val="00E904D8"/>
    <w:rsid w:val="00EE0A7D"/>
    <w:rsid w:val="00EF12D0"/>
    <w:rsid w:val="00F2426E"/>
    <w:rsid w:val="00F4572A"/>
    <w:rsid w:val="00F86D0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E68A4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4078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10</cp:revision>
  <cp:lastPrinted>2016-04-08T14:40:00Z</cp:lastPrinted>
  <dcterms:created xsi:type="dcterms:W3CDTF">2018-04-09T15:08:00Z</dcterms:created>
  <dcterms:modified xsi:type="dcterms:W3CDTF">2018-10-09T21:25:00Z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