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24" w:rsidRPr="002532B4" w:rsidRDefault="00660D24" w:rsidP="00660D24">
      <w:pPr>
        <w:spacing w:after="0" w:line="240" w:lineRule="auto"/>
        <w:ind w:left="360"/>
        <w:jc w:val="center"/>
        <w:rPr>
          <w:b/>
        </w:rPr>
      </w:pPr>
      <w:r w:rsidRPr="002532B4">
        <w:rPr>
          <w:b/>
        </w:rPr>
        <w:t>Standard Operating Procedure</w:t>
      </w:r>
    </w:p>
    <w:p w:rsidR="00660D24" w:rsidRPr="00EF12D0" w:rsidRDefault="003F3415" w:rsidP="00660D24">
      <w:pPr>
        <w:spacing w:after="0" w:line="240" w:lineRule="auto"/>
        <w:ind w:left="360"/>
        <w:jc w:val="center"/>
        <w:rPr>
          <w:b/>
          <w:sz w:val="40"/>
        </w:rPr>
      </w:pPr>
      <w:r>
        <w:rPr>
          <w:b/>
          <w:sz w:val="40"/>
        </w:rPr>
        <w:t>Pyrophoric Chemicals</w:t>
      </w:r>
    </w:p>
    <w:p w:rsidR="004440DE" w:rsidRDefault="00EF12D0" w:rsidP="00EF12D0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6F466D38" wp14:editId="4B65BCD0">
            <wp:extent cx="749808" cy="749808"/>
            <wp:effectExtent l="0" t="0" r="0" b="0"/>
            <wp:docPr id="4" name="Picture 4" descr="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0DE">
        <w:rPr>
          <w:noProof/>
        </w:rPr>
        <w:drawing>
          <wp:inline distT="0" distB="0" distL="0" distR="0">
            <wp:extent cx="781050" cy="781050"/>
            <wp:effectExtent l="0" t="0" r="0" b="0"/>
            <wp:docPr id="2" name="Picture 2" descr="https://www.osha.gov/images/Healthhazard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sha.gov/images/Healthhazard_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737A">
        <w:rPr>
          <w:noProof/>
        </w:rPr>
        <w:drawing>
          <wp:inline distT="0" distB="0" distL="0" distR="0">
            <wp:extent cx="771525" cy="771525"/>
            <wp:effectExtent l="0" t="0" r="9525" b="9525"/>
            <wp:docPr id="3" name="Picture 3" descr="https://c1.staticflickr.com/5/4069/4642776748_bcab182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1.staticflickr.com/5/4069/4642776748_bcab182e4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28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>
            <v:imagedata r:id="rId10" o:title="Corrosion"/>
          </v:shape>
        </w:pict>
      </w:r>
      <w:r w:rsidRPr="00EF12D0">
        <w:rPr>
          <w:noProof/>
        </w:rPr>
        <w:drawing>
          <wp:inline distT="0" distB="0" distL="0" distR="0">
            <wp:extent cx="749808" cy="749808"/>
            <wp:effectExtent l="0" t="0" r="0" b="0"/>
            <wp:docPr id="7" name="Picture 7" descr="C:\Users\zsmith\Desktop\GHS\Expoint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smith\Desktop\GHS\Expoint_bi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8" w:type="dxa"/>
        <w:tblInd w:w="360" w:type="dxa"/>
        <w:tblLook w:val="04A0" w:firstRow="1" w:lastRow="0" w:firstColumn="1" w:lastColumn="0" w:noHBand="0" w:noVBand="1"/>
      </w:tblPr>
      <w:tblGrid>
        <w:gridCol w:w="716"/>
        <w:gridCol w:w="448"/>
        <w:gridCol w:w="1153"/>
        <w:gridCol w:w="4131"/>
        <w:gridCol w:w="809"/>
        <w:gridCol w:w="177"/>
        <w:gridCol w:w="3204"/>
      </w:tblGrid>
      <w:tr w:rsidR="004440DE" w:rsidRPr="00431824" w:rsidTr="00D767E7">
        <w:tc>
          <w:tcPr>
            <w:tcW w:w="2226" w:type="dxa"/>
            <w:gridSpan w:val="3"/>
          </w:tcPr>
          <w:p w:rsidR="004440DE" w:rsidRPr="00431824" w:rsidRDefault="004440DE" w:rsidP="004440DE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Chemical name, CAS:</w:t>
            </w:r>
          </w:p>
        </w:tc>
        <w:tc>
          <w:tcPr>
            <w:tcW w:w="8412" w:type="dxa"/>
            <w:gridSpan w:val="4"/>
          </w:tcPr>
          <w:p w:rsidR="004440DE" w:rsidRPr="00431824" w:rsidRDefault="003F3415" w:rsidP="004440DE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Pyrophoric Chemicals</w:t>
            </w:r>
            <w:r w:rsidR="004440DE" w:rsidRPr="00431824"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 </w:t>
            </w:r>
          </w:p>
        </w:tc>
      </w:tr>
      <w:tr w:rsidR="00660D24" w:rsidRPr="00431824" w:rsidTr="00D767E7">
        <w:tc>
          <w:tcPr>
            <w:tcW w:w="613" w:type="dxa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PI:</w:t>
            </w:r>
          </w:p>
        </w:tc>
        <w:tc>
          <w:tcPr>
            <w:tcW w:w="5795" w:type="dxa"/>
            <w:gridSpan w:val="3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  <w:tc>
          <w:tcPr>
            <w:tcW w:w="809" w:type="dxa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Date:</w:t>
            </w:r>
          </w:p>
        </w:tc>
        <w:tc>
          <w:tcPr>
            <w:tcW w:w="3421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</w:tr>
      <w:tr w:rsidR="00660D24" w:rsidRPr="00431824" w:rsidTr="00D767E7">
        <w:tc>
          <w:tcPr>
            <w:tcW w:w="1062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Building:</w:t>
            </w:r>
          </w:p>
        </w:tc>
        <w:tc>
          <w:tcPr>
            <w:tcW w:w="5346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  <w:tc>
          <w:tcPr>
            <w:tcW w:w="988" w:type="dxa"/>
            <w:gridSpan w:val="2"/>
          </w:tcPr>
          <w:p w:rsidR="00660D24" w:rsidRPr="00431824" w:rsidRDefault="00302CA2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Lab</w:t>
            </w:r>
            <w:r w:rsidR="00660D24" w:rsidRPr="00431824">
              <w:rPr>
                <w:b/>
                <w:sz w:val="24"/>
              </w:rPr>
              <w:t xml:space="preserve"> #:</w:t>
            </w:r>
          </w:p>
        </w:tc>
        <w:tc>
          <w:tcPr>
            <w:tcW w:w="3242" w:type="dxa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0E0C95" w:rsidRPr="002532B4" w:rsidRDefault="000E0C95" w:rsidP="000E0C95">
      <w:pPr>
        <w:spacing w:after="0" w:line="240" w:lineRule="auto"/>
      </w:pPr>
    </w:p>
    <w:p w:rsidR="000E0C95" w:rsidRPr="002D4F26" w:rsidRDefault="00B4231B" w:rsidP="000E0C95">
      <w:pPr>
        <w:numPr>
          <w:ilvl w:val="0"/>
          <w:numId w:val="5"/>
        </w:numPr>
        <w:spacing w:after="0" w:line="240" w:lineRule="auto"/>
        <w:rPr>
          <w:b/>
          <w:sz w:val="28"/>
        </w:rPr>
      </w:pPr>
      <w:r w:rsidRPr="002D4F26">
        <w:rPr>
          <w:b/>
          <w:bCs/>
          <w:sz w:val="28"/>
        </w:rPr>
        <w:t>Material</w:t>
      </w:r>
      <w:r w:rsidR="000E0C95" w:rsidRPr="002D4F26">
        <w:rPr>
          <w:b/>
          <w:bCs/>
          <w:sz w:val="28"/>
        </w:rPr>
        <w:t xml:space="preserve"> Use:</w:t>
      </w:r>
    </w:p>
    <w:tbl>
      <w:tblPr>
        <w:tblW w:w="1050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7"/>
      </w:tblGrid>
      <w:tr w:rsidR="000E0C95" w:rsidRPr="002532B4" w:rsidTr="003F3415">
        <w:tc>
          <w:tcPr>
            <w:tcW w:w="10507" w:type="dxa"/>
          </w:tcPr>
          <w:p w:rsidR="000E0C95" w:rsidRDefault="003F3415" w:rsidP="003F3415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Pyrophoric chemicals are liquids or solids that can</w:t>
            </w:r>
            <w:r w:rsidRPr="00C67686">
              <w:rPr>
                <w:rFonts w:asciiTheme="majorHAnsi" w:hAnsiTheme="majorHAnsi"/>
                <w:b/>
                <w:bCs/>
                <w:color w:val="1F497D" w:themeColor="text2"/>
              </w:rPr>
              <w:t xml:space="preserve"> ignite spontaneously on contact with air</w:t>
            </w:r>
            <w:r>
              <w:rPr>
                <w:rFonts w:asciiTheme="majorHAnsi" w:hAnsiTheme="majorHAnsi"/>
                <w:bCs/>
                <w:color w:val="1F497D" w:themeColor="text2"/>
              </w:rPr>
              <w:t>, moisture in the air, oxygen, or water. Pyrophoric chemicals are often used in chemistry research labs as catalysts or reagents.</w:t>
            </w:r>
          </w:p>
          <w:p w:rsidR="003F3415" w:rsidRDefault="003F3415" w:rsidP="003F3415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Pyrophoric Chemicals Include: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O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rgano-metallic reagents (i.e. Grignard reagents)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A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lkali earth elements (sodium, potassium, cesium)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F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inely divided metals (Raney nickel, aluminum powder, zinc dust)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M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etal hydrides (sodium hydride, germane, lithium aluminum hydride)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A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lkyl metal hydrides (butyllithium, trimethylaluminum, triethylboron)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M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etal carbonyls (nickel carbonyl, iron pentacarbonyl)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G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ases (arsine, diborane, phosphine, silane)</w:t>
            </w:r>
          </w:p>
          <w:p w:rsidR="003F3415" w:rsidRPr="003F3415" w:rsidRDefault="003F3415" w:rsidP="003F34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S</w:t>
            </w:r>
            <w:r w:rsidRPr="003F3415">
              <w:rPr>
                <w:rFonts w:asciiTheme="majorHAnsi" w:hAnsiTheme="majorHAnsi"/>
                <w:bCs/>
                <w:color w:val="1F497D" w:themeColor="text2"/>
              </w:rPr>
              <w:t>ilicon halides (dichloromethylsilane)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sz w:val="18"/>
        </w:rPr>
      </w:pPr>
      <w:r w:rsidRPr="002532B4">
        <w:rPr>
          <w:bCs/>
        </w:rPr>
        <w:t xml:space="preserve"> </w:t>
      </w: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Potential Hazards: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C67686">
        <w:tc>
          <w:tcPr>
            <w:tcW w:w="10412" w:type="dxa"/>
          </w:tcPr>
          <w:p w:rsidR="004440DE" w:rsidRPr="0085652D" w:rsidRDefault="00C67686" w:rsidP="00C67686">
            <w:pPr>
              <w:spacing w:after="0" w:line="240" w:lineRule="auto"/>
            </w:pPr>
            <w:r>
              <w:rPr>
                <w:rFonts w:asciiTheme="majorHAnsi" w:hAnsiTheme="majorHAnsi"/>
                <w:color w:val="1F497D" w:themeColor="text2"/>
              </w:rPr>
              <w:t>Pyrophoric chemicals are violently reactive with oxygen and/or water and will ignite spontaneously upon exposure to air</w:t>
            </w:r>
            <w:r w:rsidRPr="00C67686">
              <w:rPr>
                <w:rFonts w:asciiTheme="majorHAnsi" w:hAnsiTheme="majorHAnsi"/>
                <w:b/>
                <w:color w:val="1F497D" w:themeColor="text2"/>
              </w:rPr>
              <w:t>. Do not underestimate the hazards of pyrophoric materials</w:t>
            </w:r>
            <w:r>
              <w:rPr>
                <w:rFonts w:asciiTheme="majorHAnsi" w:hAnsiTheme="majorHAnsi"/>
                <w:color w:val="1F497D" w:themeColor="text2"/>
              </w:rPr>
              <w:t xml:space="preserve">. Before working with </w:t>
            </w:r>
            <w:proofErr w:type="spellStart"/>
            <w:r>
              <w:rPr>
                <w:rFonts w:asciiTheme="majorHAnsi" w:hAnsiTheme="majorHAnsi"/>
                <w:color w:val="1F497D" w:themeColor="text2"/>
              </w:rPr>
              <w:t>pyrophorics</w:t>
            </w:r>
            <w:proofErr w:type="spellEnd"/>
            <w:r>
              <w:rPr>
                <w:rFonts w:asciiTheme="majorHAnsi" w:hAnsiTheme="majorHAnsi"/>
                <w:color w:val="1F497D" w:themeColor="text2"/>
              </w:rPr>
              <w:t xml:space="preserve">, </w:t>
            </w:r>
            <w:r w:rsidRPr="003D2977">
              <w:rPr>
                <w:rFonts w:asciiTheme="majorHAnsi" w:hAnsiTheme="majorHAnsi"/>
                <w:b/>
                <w:color w:val="1F497D" w:themeColor="text2"/>
              </w:rPr>
              <w:t xml:space="preserve">you must get thorough training from an experienced supervisor. </w:t>
            </w:r>
          </w:p>
        </w:tc>
      </w:tr>
    </w:tbl>
    <w:p w:rsidR="004F0B09" w:rsidRPr="00143852" w:rsidRDefault="004F0B09" w:rsidP="004F0B09">
      <w:pPr>
        <w:spacing w:after="0" w:line="240" w:lineRule="auto"/>
        <w:rPr>
          <w:sz w:val="18"/>
          <w:szCs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Engineering Controls: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2532B4" w:rsidTr="00E904D8">
        <w:tc>
          <w:tcPr>
            <w:tcW w:w="11016" w:type="dxa"/>
          </w:tcPr>
          <w:p w:rsidR="001D4A52" w:rsidRDefault="004F0B09" w:rsidP="003D297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3D2977">
              <w:rPr>
                <w:rFonts w:asciiTheme="majorHAnsi" w:hAnsiTheme="majorHAnsi"/>
                <w:color w:val="1F497D" w:themeColor="text2"/>
              </w:rPr>
              <w:t xml:space="preserve">All </w:t>
            </w:r>
            <w:r w:rsidR="003F3415" w:rsidRPr="003D2977">
              <w:rPr>
                <w:rFonts w:asciiTheme="majorHAnsi" w:hAnsiTheme="majorHAnsi"/>
                <w:color w:val="1F497D" w:themeColor="text2"/>
              </w:rPr>
              <w:t>transferring of pyrophoric</w:t>
            </w:r>
            <w:r w:rsidR="00142837">
              <w:rPr>
                <w:rFonts w:asciiTheme="majorHAnsi" w:hAnsiTheme="majorHAnsi"/>
                <w:color w:val="1F497D" w:themeColor="text2"/>
              </w:rPr>
              <w:t xml:space="preserve"> materials</w:t>
            </w:r>
            <w:r w:rsidRPr="003D2977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="003F3415" w:rsidRPr="003D2977">
              <w:rPr>
                <w:rFonts w:asciiTheme="majorHAnsi" w:hAnsiTheme="majorHAnsi"/>
                <w:color w:val="1F497D" w:themeColor="text2"/>
              </w:rPr>
              <w:t>should</w:t>
            </w:r>
            <w:r w:rsidR="00302CA2" w:rsidRPr="003D2977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Pr="003D2977">
              <w:rPr>
                <w:rFonts w:asciiTheme="majorHAnsi" w:hAnsiTheme="majorHAnsi"/>
                <w:color w:val="1F497D" w:themeColor="text2"/>
              </w:rPr>
              <w:t xml:space="preserve">be done in </w:t>
            </w:r>
            <w:r w:rsidR="003F3415" w:rsidRPr="003D2977">
              <w:rPr>
                <w:rFonts w:asciiTheme="majorHAnsi" w:hAnsiTheme="majorHAnsi"/>
                <w:color w:val="1F497D" w:themeColor="text2"/>
              </w:rPr>
              <w:t xml:space="preserve">an </w:t>
            </w:r>
            <w:r w:rsidR="003F3415" w:rsidRPr="003D2977">
              <w:rPr>
                <w:rFonts w:asciiTheme="majorHAnsi" w:hAnsiTheme="majorHAnsi"/>
                <w:b/>
                <w:color w:val="1F497D" w:themeColor="text2"/>
              </w:rPr>
              <w:t>inert-atmosphere glove box</w:t>
            </w:r>
            <w:r w:rsidR="003F3415" w:rsidRPr="003D2977">
              <w:rPr>
                <w:rFonts w:asciiTheme="majorHAnsi" w:hAnsiTheme="majorHAnsi"/>
                <w:color w:val="1F497D" w:themeColor="text2"/>
              </w:rPr>
              <w:t>.</w:t>
            </w:r>
          </w:p>
          <w:p w:rsidR="00142837" w:rsidRPr="003D2977" w:rsidRDefault="00142837" w:rsidP="003D297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All reactions using pyrophoric materials must be performed under an inert atmosphere in a laboratory hood, glove box, or appropriate engineering control.</w:t>
            </w:r>
          </w:p>
          <w:p w:rsidR="003F3415" w:rsidRPr="003D2977" w:rsidRDefault="003F3415" w:rsidP="003D2977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3D2977">
              <w:rPr>
                <w:rFonts w:asciiTheme="majorHAnsi" w:hAnsiTheme="majorHAnsi"/>
                <w:color w:val="1F497D" w:themeColor="text2"/>
              </w:rPr>
              <w:t>An appropriate fire extinguisher (Class ABC or Class D</w:t>
            </w:r>
            <w:r w:rsidR="00891B92" w:rsidRPr="003D2977">
              <w:rPr>
                <w:rFonts w:asciiTheme="majorHAnsi" w:hAnsiTheme="majorHAnsi"/>
                <w:color w:val="1F497D" w:themeColor="text2"/>
              </w:rPr>
              <w:t>) must be available in the laboratory.</w:t>
            </w:r>
          </w:p>
          <w:p w:rsidR="000E0C95" w:rsidRPr="003D2977" w:rsidRDefault="00824D00" w:rsidP="00824D00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i/>
              </w:rPr>
            </w:pPr>
            <w:r>
              <w:rPr>
                <w:rFonts w:asciiTheme="majorHAnsi" w:hAnsiTheme="majorHAnsi"/>
                <w:color w:val="1F497D" w:themeColor="text2"/>
              </w:rPr>
              <w:t>An eyewash and safety shower must be readily available near the work area.</w:t>
            </w:r>
            <w:r w:rsidR="000E0C95" w:rsidRPr="003D2977">
              <w:rPr>
                <w:i/>
              </w:rPr>
              <w:t xml:space="preserve"> 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sz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Work Practice Controls: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1D4A52" w:rsidTr="00E904D8">
        <w:tc>
          <w:tcPr>
            <w:tcW w:w="11016" w:type="dxa"/>
          </w:tcPr>
          <w:p w:rsidR="004F0B09" w:rsidRPr="001D4A52" w:rsidRDefault="00C67686" w:rsidP="001D4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C67686">
              <w:rPr>
                <w:rFonts w:asciiTheme="majorHAnsi" w:hAnsiTheme="majorHAnsi"/>
                <w:b/>
                <w:color w:val="1F497D" w:themeColor="text2"/>
              </w:rPr>
              <w:t>Substitute pyrophoric materials for less hazardous reagents</w:t>
            </w:r>
            <w:r>
              <w:rPr>
                <w:rFonts w:asciiTheme="majorHAnsi" w:hAnsiTheme="majorHAnsi"/>
                <w:color w:val="1F497D" w:themeColor="text2"/>
              </w:rPr>
              <w:t xml:space="preserve"> whenever possible.</w:t>
            </w:r>
          </w:p>
          <w:p w:rsidR="001D4A52" w:rsidRDefault="00C67686" w:rsidP="001D4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Additional training is required for use of pyrophoric materials. Talk with supervisor and EHS before use.</w:t>
            </w:r>
          </w:p>
          <w:p w:rsidR="00C67686" w:rsidRDefault="00C67686" w:rsidP="001D4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color w:val="1F497D" w:themeColor="text2"/>
              </w:rPr>
            </w:pPr>
            <w:r w:rsidRPr="00C67686">
              <w:rPr>
                <w:rFonts w:asciiTheme="majorHAnsi" w:hAnsiTheme="majorHAnsi"/>
                <w:b/>
                <w:color w:val="1F497D" w:themeColor="text2"/>
              </w:rPr>
              <w:t>Never work alone with pyrophoric materials.</w:t>
            </w:r>
          </w:p>
          <w:p w:rsidR="00142837" w:rsidRPr="00142837" w:rsidRDefault="00142837" w:rsidP="001D4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Keep an appropriate spill kid readily available. </w:t>
            </w:r>
            <w:r>
              <w:rPr>
                <w:rFonts w:asciiTheme="majorHAnsi" w:hAnsiTheme="majorHAnsi"/>
                <w:color w:val="1F497D" w:themeColor="text2"/>
              </w:rPr>
              <w:t>Sand, metal-x, or lime often work well for smothering pyrophoric materials.</w:t>
            </w:r>
          </w:p>
          <w:p w:rsidR="00143852" w:rsidRDefault="00142837" w:rsidP="001438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Do not store unnecessary flammable chemicals near the pyrophoric work area.</w:t>
            </w:r>
          </w:p>
          <w:p w:rsidR="00142837" w:rsidRDefault="00142837" w:rsidP="001438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Oven dry all glassware, syringes, cannula, and other equipment, and cool in inert atmosphere before working with pyrophoric materials.</w:t>
            </w:r>
          </w:p>
          <w:p w:rsidR="00142837" w:rsidRDefault="00F15253" w:rsidP="001438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Never use a syringe at its maximum volume. Never exceed 2/3 of the maximum syringe capacity to prevent the syringe plunger from popping out.</w:t>
            </w:r>
          </w:p>
          <w:p w:rsidR="00F15253" w:rsidRPr="00F15253" w:rsidRDefault="00F15253" w:rsidP="001438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color w:val="1F497D" w:themeColor="text2"/>
              </w:rPr>
            </w:pPr>
            <w:r w:rsidRPr="00F15253">
              <w:rPr>
                <w:rFonts w:asciiTheme="majorHAnsi" w:hAnsiTheme="majorHAnsi"/>
                <w:b/>
                <w:color w:val="1F497D" w:themeColor="text2"/>
              </w:rPr>
              <w:t>You must be trained by an experienced lab supervisor before working with pyrophoric materials.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color w:val="1F497D" w:themeColor="text2"/>
          <w:sz w:val="18"/>
        </w:rPr>
      </w:pPr>
    </w:p>
    <w:p w:rsidR="009B3160" w:rsidRPr="009B3160" w:rsidRDefault="009B3160" w:rsidP="009B3160">
      <w:pPr>
        <w:spacing w:after="0" w:line="240" w:lineRule="auto"/>
        <w:ind w:left="360"/>
        <w:rPr>
          <w:sz w:val="28"/>
        </w:rPr>
      </w:pPr>
    </w:p>
    <w:p w:rsidR="009B3160" w:rsidRPr="009B3160" w:rsidRDefault="009B3160" w:rsidP="009B3160">
      <w:pPr>
        <w:spacing w:after="0" w:line="240" w:lineRule="auto"/>
        <w:ind w:left="360"/>
        <w:rPr>
          <w:sz w:val="2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lastRenderedPageBreak/>
        <w:t>Personal protective equipment (PPE):</w:t>
      </w:r>
      <w:r w:rsidRPr="002D4F26">
        <w:rPr>
          <w:bCs/>
          <w:sz w:val="28"/>
        </w:rPr>
        <w:t xml:space="preserve"> </w:t>
      </w:r>
    </w:p>
    <w:tbl>
      <w:tblPr>
        <w:tblW w:w="1054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1599"/>
        <w:gridCol w:w="1599"/>
        <w:gridCol w:w="1599"/>
        <w:gridCol w:w="1599"/>
        <w:gridCol w:w="2526"/>
      </w:tblGrid>
      <w:tr w:rsidR="00C05896" w:rsidRPr="002532B4" w:rsidTr="00C05896">
        <w:trPr>
          <w:trHeight w:val="350"/>
        </w:trPr>
        <w:tc>
          <w:tcPr>
            <w:tcW w:w="1627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57DFDA7" wp14:editId="1D78BCFF">
                  <wp:extent cx="752475" cy="752475"/>
                  <wp:effectExtent l="0" t="0" r="9525" b="9525"/>
                  <wp:docPr id="9" name="Picture 9" descr="C:\Users\zsmith\AppData\Local\Microsoft\Windows\INetCache\Content.Word\Lab C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zsmith\AppData\Local\Microsoft\Windows\INetCache\Content.Word\Lab C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BF7477F" wp14:editId="187EAA35">
                  <wp:extent cx="752475" cy="752475"/>
                  <wp:effectExtent l="0" t="0" r="9525" b="9525"/>
                  <wp:docPr id="8" name="Picture 8" descr="C:\Users\zsmith\AppData\Local\Microsoft\Windows\INetCache\Content.Word\Apr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C:\Users\zsmith\AppData\Local\Microsoft\Windows\INetCache\Content.Word\Apr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E546947" wp14:editId="1757A136">
                  <wp:extent cx="752475" cy="752475"/>
                  <wp:effectExtent l="0" t="0" r="9525" b="9525"/>
                  <wp:docPr id="10" name="Picture 10" descr="C:\Users\zsmith\AppData\Local\Microsoft\Windows\INetCache\Content.Word\Splash Gogg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:\Users\zsmith\AppData\Local\Microsoft\Windows\INetCache\Content.Word\Splash Gogg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D054FC" wp14:editId="2E58FC26">
                  <wp:extent cx="752475" cy="752475"/>
                  <wp:effectExtent l="0" t="0" r="9525" b="9525"/>
                  <wp:docPr id="11" name="Picture 11" descr="C:\Users\zsmith\AppData\Local\Microsoft\Windows\INetCache\Content.Word\Face Shi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:\Users\zsmith\AppData\Local\Microsoft\Windows\INetCache\Content.Word\Face Shi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CE04EA" wp14:editId="489F46F2">
                  <wp:extent cx="752475" cy="752475"/>
                  <wp:effectExtent l="0" t="0" r="9525" b="9525"/>
                  <wp:docPr id="12" name="Picture 12" descr="C:\Users\zsmith\AppData\Local\Microsoft\Windows\INetCache\Content.Word\Glo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:\Users\zsmith\AppData\Local\Microsoft\Windows\INetCache\Content.Word\Glo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 w:rsidRPr="00855484">
              <w:rPr>
                <w:noProof/>
              </w:rPr>
              <w:drawing>
                <wp:inline distT="0" distB="0" distL="0" distR="0" wp14:anchorId="217185C3" wp14:editId="1B254722">
                  <wp:extent cx="1462126" cy="749808"/>
                  <wp:effectExtent l="0" t="0" r="5080" b="0"/>
                  <wp:docPr id="14" name="Picture 14" descr="Z:\SOPs\ISO PPE Pictograms\Pants and Sh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SOPs\ISO PPE Pictograms\Pants and Sh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126" cy="74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5896" w:rsidRPr="002532B4" w:rsidRDefault="00C05896" w:rsidP="00C05896">
            <w:pPr>
              <w:spacing w:after="0" w:line="240" w:lineRule="auto"/>
              <w:jc w:val="center"/>
            </w:pPr>
          </w:p>
        </w:tc>
      </w:tr>
      <w:tr w:rsidR="00C05896" w:rsidRPr="002532B4" w:rsidTr="00C05896">
        <w:trPr>
          <w:trHeight w:val="350"/>
        </w:trPr>
        <w:tc>
          <w:tcPr>
            <w:tcW w:w="1627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t>Lab Coat</w:t>
            </w:r>
          </w:p>
          <w:p w:rsidR="00C05896" w:rsidRDefault="00C05896" w:rsidP="00C05896">
            <w:pPr>
              <w:spacing w:after="0" w:line="240" w:lineRule="auto"/>
              <w:jc w:val="center"/>
            </w:pPr>
            <w:r>
              <w:t>Nomex/Flame Resistant</w:t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t>Chemical Resistant Apron</w:t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t>Splash Goggles</w:t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t>Face Shield</w:t>
            </w:r>
          </w:p>
        </w:tc>
        <w:tc>
          <w:tcPr>
            <w:tcW w:w="1599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>
              <w:t>Gloves</w:t>
            </w:r>
          </w:p>
        </w:tc>
        <w:tc>
          <w:tcPr>
            <w:tcW w:w="2526" w:type="dxa"/>
          </w:tcPr>
          <w:p w:rsidR="00C05896" w:rsidRDefault="00C05896" w:rsidP="00C05896">
            <w:pPr>
              <w:spacing w:after="0" w:line="240" w:lineRule="auto"/>
              <w:jc w:val="center"/>
            </w:pPr>
            <w:r w:rsidRPr="00855484">
              <w:t>Long Pants/Closed-toe Shoes</w:t>
            </w:r>
          </w:p>
        </w:tc>
      </w:tr>
    </w:tbl>
    <w:p w:rsidR="000E0C95" w:rsidRPr="002D4F26" w:rsidRDefault="000E0C95" w:rsidP="000E0C95">
      <w:pPr>
        <w:spacing w:after="0" w:line="240" w:lineRule="auto"/>
        <w:rPr>
          <w:sz w:val="2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  <w:sz w:val="28"/>
        </w:rPr>
      </w:pPr>
      <w:r w:rsidRPr="002D4F26">
        <w:rPr>
          <w:b/>
          <w:bCs/>
          <w:sz w:val="28"/>
        </w:rPr>
        <w:t>Storage: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4121CC" w:rsidRPr="00632FBB" w:rsidRDefault="00251C1C" w:rsidP="00251C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632FBB">
              <w:rPr>
                <w:rFonts w:asciiTheme="majorHAnsi" w:hAnsiTheme="majorHAnsi"/>
                <w:color w:val="1F497D" w:themeColor="text2"/>
              </w:rPr>
              <w:t>Store pyrophoric material according to SDS, and away from any flammable materials.</w:t>
            </w:r>
          </w:p>
          <w:p w:rsidR="00251C1C" w:rsidRPr="00632FBB" w:rsidRDefault="00251C1C" w:rsidP="00251C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632FBB">
              <w:rPr>
                <w:rFonts w:asciiTheme="majorHAnsi" w:hAnsiTheme="majorHAnsi"/>
                <w:color w:val="1F497D" w:themeColor="text2"/>
              </w:rPr>
              <w:t>Storage in an inert-gas atmosphere (glove box or desiccator) may be a suitable storage area.</w:t>
            </w:r>
          </w:p>
          <w:p w:rsidR="00251C1C" w:rsidRPr="00251C1C" w:rsidRDefault="00251C1C" w:rsidP="00251C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asciiTheme="majorHAnsi" w:hAnsiTheme="majorHAnsi"/>
              </w:rPr>
            </w:pPr>
            <w:r w:rsidRPr="00632FBB">
              <w:rPr>
                <w:rFonts w:asciiTheme="majorHAnsi" w:hAnsiTheme="majorHAnsi"/>
                <w:color w:val="1F497D" w:themeColor="text2"/>
              </w:rPr>
              <w:t>Always ensure that sufficient protective solvent, oil, kerosene, or inert gas remains in the container during storage.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 w:rsidRPr="002D4F26">
        <w:rPr>
          <w:b/>
          <w:bCs/>
          <w:sz w:val="28"/>
        </w:rPr>
        <w:t>Waste Disposal: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4121CC" w:rsidRPr="00632FBB" w:rsidRDefault="00632FBB" w:rsidP="00251C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bCs/>
                <w:color w:val="1F497D" w:themeColor="text2"/>
              </w:rPr>
            </w:pPr>
            <w:r w:rsidRPr="00632FBB">
              <w:rPr>
                <w:bCs/>
                <w:color w:val="1F497D" w:themeColor="text2"/>
              </w:rPr>
              <w:t xml:space="preserve">Any container with pyrophoric residue must be rinsed with compatible dry solvent three times under inert atmosphere before disposal. </w:t>
            </w:r>
            <w:proofErr w:type="spellStart"/>
            <w:r w:rsidRPr="00632FBB">
              <w:rPr>
                <w:bCs/>
                <w:color w:val="1F497D" w:themeColor="text2"/>
              </w:rPr>
              <w:t>Rinsate</w:t>
            </w:r>
            <w:proofErr w:type="spellEnd"/>
            <w:r w:rsidRPr="00632FBB">
              <w:rPr>
                <w:bCs/>
                <w:color w:val="1F497D" w:themeColor="text2"/>
              </w:rPr>
              <w:t xml:space="preserve"> solvent must be collected and quenched.</w:t>
            </w:r>
          </w:p>
          <w:p w:rsidR="00632FBB" w:rsidRPr="00632FBB" w:rsidRDefault="00632FBB" w:rsidP="00251C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bCs/>
                <w:color w:val="1F497D" w:themeColor="text2"/>
              </w:rPr>
            </w:pPr>
            <w:r w:rsidRPr="00632FBB">
              <w:rPr>
                <w:bCs/>
                <w:color w:val="1F497D" w:themeColor="text2"/>
              </w:rPr>
              <w:t>Any unused or unwanted reactive materials must be quenched safely before disposal.</w:t>
            </w:r>
          </w:p>
          <w:p w:rsidR="00632FBB" w:rsidRPr="00251C1C" w:rsidRDefault="00632FBB" w:rsidP="00251C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5"/>
              <w:rPr>
                <w:bCs/>
              </w:rPr>
            </w:pPr>
            <w:r w:rsidRPr="00632FBB">
              <w:rPr>
                <w:bCs/>
                <w:color w:val="1F497D" w:themeColor="text2"/>
              </w:rPr>
              <w:t>Do not leave any container with pyrophoric residue open to the atmosphere.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/>
          <w:bCs/>
        </w:rPr>
      </w:pPr>
    </w:p>
    <w:p w:rsidR="000E0C95" w:rsidRPr="002D4F26" w:rsidRDefault="004121CC" w:rsidP="000E0C95">
      <w:pPr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 w:rsidRPr="002D4F26">
        <w:rPr>
          <w:b/>
          <w:bCs/>
          <w:sz w:val="28"/>
        </w:rPr>
        <w:t>What to do if exposed:</w:t>
      </w:r>
      <w:r w:rsidR="000E0C95"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2532B4" w:rsidTr="00E904D8">
        <w:tc>
          <w:tcPr>
            <w:tcW w:w="10656" w:type="dxa"/>
          </w:tcPr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b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If inhaled</w:t>
            </w: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Remove to fresh air. If not breathing, give artificial respiration. If breathing is difficult, give oxygen. Get medical attention. </w:t>
            </w: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b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In case of skin contact</w:t>
            </w:r>
          </w:p>
          <w:p w:rsidR="001D4A52" w:rsidRPr="001D4A52" w:rsidRDefault="001D4A52" w:rsidP="001D4A52">
            <w:pPr>
              <w:spacing w:after="0" w:line="240" w:lineRule="auto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Immediately flush skin with plenty of water for at least 15 minutes while removing contaminated clothing and shoes. Get medical attention immediately. </w:t>
            </w:r>
          </w:p>
          <w:p w:rsidR="001D4A52" w:rsidRPr="001D4A52" w:rsidRDefault="001D4A52" w:rsidP="001D4A52">
            <w:pPr>
              <w:spacing w:after="0" w:line="240" w:lineRule="auto"/>
              <w:rPr>
                <w:rFonts w:asciiTheme="majorHAnsi" w:hAnsiTheme="majorHAnsi" w:cs="Arial"/>
                <w:color w:val="1F497D" w:themeColor="text2"/>
                <w:szCs w:val="20"/>
              </w:rPr>
            </w:pPr>
          </w:p>
          <w:p w:rsidR="001D4A52" w:rsidRPr="001D4A52" w:rsidRDefault="001D4A52" w:rsidP="001D4A52">
            <w:pPr>
              <w:pStyle w:val="NoSpacing"/>
              <w:rPr>
                <w:rFonts w:asciiTheme="majorHAnsi" w:hAnsiTheme="majorHAnsi" w:cs="Arial"/>
                <w:b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b/>
                <w:color w:val="1F497D" w:themeColor="text2"/>
                <w:szCs w:val="20"/>
              </w:rPr>
              <w:t>In case of eye contact</w:t>
            </w:r>
          </w:p>
          <w:p w:rsidR="000E0C95" w:rsidRPr="007C066B" w:rsidRDefault="001D4A52" w:rsidP="007C066B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Immediately flush eyes with plenty of water for at least 15 minutes, lifting lower and upper eyelids occasionally. Get medical attention immediately. </w:t>
            </w:r>
          </w:p>
        </w:tc>
      </w:tr>
    </w:tbl>
    <w:p w:rsidR="000E0C95" w:rsidRPr="002532B4" w:rsidRDefault="000E0C95" w:rsidP="000E0C95">
      <w:pPr>
        <w:spacing w:after="0" w:line="240" w:lineRule="auto"/>
        <w:ind w:left="360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  <w:sz w:val="28"/>
        </w:rPr>
      </w:pPr>
      <w:r w:rsidRPr="002D4F26">
        <w:rPr>
          <w:b/>
          <w:bCs/>
          <w:sz w:val="28"/>
        </w:rPr>
        <w:t>Spill Procedure: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F15253" w:rsidRPr="00F15253" w:rsidRDefault="00F15253" w:rsidP="00F15253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/>
                <w:bCs/>
                <w:color w:val="1F497D" w:themeColor="text2"/>
              </w:rPr>
              <w:t xml:space="preserve">All Spills: </w:t>
            </w:r>
            <w:r w:rsidRPr="00F15253">
              <w:rPr>
                <w:rFonts w:asciiTheme="majorHAnsi" w:hAnsiTheme="majorHAnsi"/>
                <w:bCs/>
                <w:color w:val="1F497D" w:themeColor="text2"/>
              </w:rPr>
              <w:t xml:space="preserve"> </w:t>
            </w:r>
            <w:r>
              <w:rPr>
                <w:rFonts w:asciiTheme="majorHAnsi" w:hAnsiTheme="majorHAnsi"/>
                <w:bCs/>
                <w:color w:val="1F497D" w:themeColor="text2"/>
              </w:rPr>
              <w:t>Immediately evacuate lab</w:t>
            </w:r>
            <w:r>
              <w:rPr>
                <w:rFonts w:asciiTheme="majorHAnsi" w:hAnsiTheme="majorHAnsi"/>
                <w:bCs/>
                <w:color w:val="1F497D" w:themeColor="text2"/>
              </w:rPr>
              <w:t>. Call 911 if there is any risk of fire or explosion. If there is no risk of fire or explosion, call 303-273</w:t>
            </w:r>
            <w:r w:rsidRPr="00F15253">
              <w:rPr>
                <w:rFonts w:asciiTheme="majorHAnsi" w:hAnsiTheme="majorHAnsi"/>
                <w:bCs/>
                <w:color w:val="1F497D" w:themeColor="text2"/>
              </w:rPr>
              <w:t>-3316 and notify EHS personnel for assistance.</w:t>
            </w:r>
            <w:r>
              <w:rPr>
                <w:rFonts w:asciiTheme="majorHAnsi" w:hAnsiTheme="majorHAnsi"/>
                <w:bCs/>
                <w:color w:val="1F497D" w:themeColor="text2"/>
              </w:rPr>
              <w:t xml:space="preserve"> </w:t>
            </w:r>
            <w:r w:rsidR="00501915">
              <w:rPr>
                <w:rFonts w:asciiTheme="majorHAnsi" w:hAnsiTheme="majorHAnsi"/>
                <w:bCs/>
                <w:color w:val="1F497D" w:themeColor="text2"/>
              </w:rPr>
              <w:t>If possible to do safely, smother any spill with powdered lime, sand or other extinguishing agent.</w:t>
            </w:r>
          </w:p>
          <w:p w:rsidR="007C066B" w:rsidRPr="007F18D1" w:rsidRDefault="007C066B" w:rsidP="00F15253">
            <w:pPr>
              <w:spacing w:after="0" w:line="240" w:lineRule="auto"/>
              <w:rPr>
                <w:bCs/>
              </w:rPr>
            </w:pPr>
          </w:p>
        </w:tc>
      </w:tr>
    </w:tbl>
    <w:p w:rsidR="000E0C95" w:rsidRPr="002532B4" w:rsidRDefault="000E0C95" w:rsidP="000E0C95">
      <w:pPr>
        <w:spacing w:after="0" w:line="240" w:lineRule="auto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</w:rPr>
      </w:pPr>
      <w:r w:rsidRPr="002D4F26">
        <w:rPr>
          <w:b/>
          <w:bCs/>
          <w:sz w:val="28"/>
        </w:rPr>
        <w:t xml:space="preserve">Training </w:t>
      </w:r>
      <w:r w:rsidR="007C066B" w:rsidRPr="002D4F26">
        <w:rPr>
          <w:b/>
          <w:bCs/>
          <w:sz w:val="28"/>
        </w:rPr>
        <w:t xml:space="preserve">and medical monitoring </w:t>
      </w:r>
      <w:r w:rsidRPr="002D4F26">
        <w:rPr>
          <w:b/>
          <w:bCs/>
          <w:sz w:val="28"/>
        </w:rPr>
        <w:t>of personnel</w:t>
      </w:r>
      <w:r w:rsidRPr="002D4F26">
        <w:rPr>
          <w:b/>
          <w:sz w:val="28"/>
        </w:rPr>
        <w:t>:</w:t>
      </w:r>
      <w:r w:rsidRPr="002D4F26">
        <w:rPr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F15253" w:rsidRPr="00536ED4" w:rsidRDefault="00F15253" w:rsidP="00F152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>Hazardous Waste Generator Training</w:t>
            </w:r>
            <w:r>
              <w:rPr>
                <w:rFonts w:asciiTheme="majorHAnsi" w:hAnsiTheme="majorHAnsi"/>
                <w:b/>
                <w:color w:val="1F497D" w:themeColor="text2"/>
              </w:rPr>
              <w:t>,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Pr="00536ED4">
              <w:rPr>
                <w:rFonts w:asciiTheme="majorHAnsi" w:hAnsiTheme="majorHAnsi"/>
                <w:b/>
                <w:color w:val="1F497D" w:themeColor="text2"/>
              </w:rPr>
              <w:t>Laboratory Safety Training</w:t>
            </w:r>
            <w:r>
              <w:rPr>
                <w:rFonts w:asciiTheme="majorHAnsi" w:hAnsiTheme="majorHAnsi"/>
                <w:b/>
                <w:color w:val="1F497D" w:themeColor="text2"/>
              </w:rPr>
              <w:t>, and HF Training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with EHS.</w:t>
            </w:r>
          </w:p>
          <w:p w:rsidR="00F15253" w:rsidRPr="00F15253" w:rsidRDefault="00F15253" w:rsidP="00F152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>Lab Specific Training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provided by supervisor that covers: safety expectations, PPE use and storage, SOPs, and emergency response.</w:t>
            </w:r>
          </w:p>
          <w:p w:rsidR="00F15253" w:rsidRPr="007C066B" w:rsidRDefault="00F15253" w:rsidP="00F1525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Pyrophoric Specific Training </w:t>
            </w:r>
            <w:r>
              <w:rPr>
                <w:rFonts w:asciiTheme="majorHAnsi" w:hAnsiTheme="majorHAnsi"/>
                <w:color w:val="1F497D" w:themeColor="text2"/>
              </w:rPr>
              <w:t>provided by experienced supervisor.</w:t>
            </w:r>
          </w:p>
          <w:p w:rsidR="007C066B" w:rsidRPr="007C066B" w:rsidRDefault="007C066B" w:rsidP="007C066B">
            <w:pPr>
              <w:spacing w:after="0" w:line="240" w:lineRule="auto"/>
            </w:pPr>
          </w:p>
        </w:tc>
      </w:tr>
    </w:tbl>
    <w:p w:rsidR="000E0C95" w:rsidRDefault="000E0C95" w:rsidP="000E0C95">
      <w:pPr>
        <w:spacing w:after="20" w:line="240" w:lineRule="auto"/>
      </w:pPr>
    </w:p>
    <w:p w:rsidR="009B3160" w:rsidRPr="009B3160" w:rsidRDefault="009B3160" w:rsidP="009B3160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/>
          <w:bCs/>
          <w:sz w:val="28"/>
        </w:rPr>
        <w:t>Additional Resources: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9B3160" w:rsidRPr="002532B4" w:rsidTr="00501915">
        <w:trPr>
          <w:trHeight w:val="431"/>
        </w:trPr>
        <w:tc>
          <w:tcPr>
            <w:tcW w:w="10638" w:type="dxa"/>
          </w:tcPr>
          <w:p w:rsidR="009B3160" w:rsidRPr="009B3160" w:rsidRDefault="009B3160" w:rsidP="00935A6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Sigma Aldrich Technical Bulletin AL-134 – </w:t>
            </w:r>
            <w:r>
              <w:rPr>
                <w:rFonts w:asciiTheme="majorHAnsi" w:hAnsiTheme="majorHAnsi"/>
                <w:color w:val="1F497D" w:themeColor="text2"/>
              </w:rPr>
              <w:t>Handling Air Sensitive Reagents</w:t>
            </w:r>
          </w:p>
          <w:p w:rsidR="009B3160" w:rsidRPr="007C066B" w:rsidRDefault="009B3160" w:rsidP="00935A60">
            <w:pPr>
              <w:spacing w:after="0" w:line="240" w:lineRule="auto"/>
            </w:pPr>
          </w:p>
        </w:tc>
      </w:tr>
    </w:tbl>
    <w:p w:rsidR="009B3160" w:rsidRDefault="009B3160" w:rsidP="000E0C95">
      <w:pPr>
        <w:spacing w:after="20" w:line="240" w:lineRule="auto"/>
      </w:pPr>
      <w:bookmarkStart w:id="0" w:name="_GoBack"/>
      <w:bookmarkEnd w:id="0"/>
    </w:p>
    <w:p w:rsidR="009932D5" w:rsidRDefault="009932D5" w:rsidP="007C066B">
      <w:pPr>
        <w:spacing w:after="0" w:line="240" w:lineRule="auto"/>
        <w:rPr>
          <w:b/>
        </w:rPr>
      </w:pPr>
      <w:r>
        <w:rPr>
          <w:b/>
        </w:rPr>
        <w:t>I have read and understand this SOP. I agree to fu</w:t>
      </w:r>
      <w:r w:rsidR="00B504C2">
        <w:rPr>
          <w:b/>
        </w:rPr>
        <w:t>lly adhere to its requirements.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12"/>
        <w:gridCol w:w="1593"/>
        <w:gridCol w:w="3261"/>
        <w:gridCol w:w="1608"/>
      </w:tblGrid>
      <w:tr w:rsidR="009932D5" w:rsidTr="006B656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4121CC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CWID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932D5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6B6569">
        <w:trPr>
          <w:trHeight w:val="4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21CC" w:rsidRDefault="004121CC" w:rsidP="009932D5">
      <w:pPr>
        <w:spacing w:after="20" w:line="240" w:lineRule="auto"/>
      </w:pPr>
    </w:p>
    <w:sectPr w:rsidR="004121CC" w:rsidSect="0080540A">
      <w:footerReference w:type="default" r:id="rId18"/>
      <w:pgSz w:w="12240" w:h="15840"/>
      <w:pgMar w:top="576" w:right="720" w:bottom="576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FB" w:rsidRDefault="009E63FB">
      <w:pPr>
        <w:spacing w:after="0" w:line="240" w:lineRule="auto"/>
      </w:pPr>
      <w:r>
        <w:separator/>
      </w:r>
    </w:p>
  </w:endnote>
  <w:endnote w:type="continuationSeparator" w:id="0">
    <w:p w:rsidR="009E63FB" w:rsidRDefault="009E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40A" w:rsidRDefault="0080540A" w:rsidP="0080540A">
    <w:pPr>
      <w:pStyle w:val="Footer"/>
      <w:jc w:val="center"/>
    </w:pPr>
    <w:r w:rsidRPr="00050952">
      <w:rPr>
        <w:noProof/>
      </w:rPr>
      <w:drawing>
        <wp:inline distT="0" distB="0" distL="0" distR="0" wp14:anchorId="2A6A2518" wp14:editId="451DE3B5">
          <wp:extent cx="2057400" cy="235512"/>
          <wp:effectExtent l="0" t="0" r="0" b="0"/>
          <wp:docPr id="15" name="Picture 15" descr="C:\Users\zsmith\Desktop\Mines_EEE_4C_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smith\Desktop\Mines_EEE_4C_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02" cy="25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FB" w:rsidRDefault="009E63FB">
      <w:pPr>
        <w:spacing w:after="0" w:line="240" w:lineRule="auto"/>
      </w:pPr>
      <w:r>
        <w:separator/>
      </w:r>
    </w:p>
  </w:footnote>
  <w:footnote w:type="continuationSeparator" w:id="0">
    <w:p w:rsidR="009E63FB" w:rsidRDefault="009E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87D"/>
    <w:multiLevelType w:val="hybridMultilevel"/>
    <w:tmpl w:val="D9C0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E0D"/>
    <w:multiLevelType w:val="hybridMultilevel"/>
    <w:tmpl w:val="16C6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5428"/>
    <w:multiLevelType w:val="hybridMultilevel"/>
    <w:tmpl w:val="A57AC2AC"/>
    <w:lvl w:ilvl="0" w:tplc="021C6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7607"/>
    <w:multiLevelType w:val="hybridMultilevel"/>
    <w:tmpl w:val="9402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10"/>
    <w:multiLevelType w:val="hybridMultilevel"/>
    <w:tmpl w:val="D9DC7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52379"/>
    <w:multiLevelType w:val="hybridMultilevel"/>
    <w:tmpl w:val="3288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56E9B"/>
    <w:multiLevelType w:val="hybridMultilevel"/>
    <w:tmpl w:val="A7D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37C6"/>
    <w:multiLevelType w:val="hybridMultilevel"/>
    <w:tmpl w:val="F008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92795"/>
    <w:multiLevelType w:val="hybridMultilevel"/>
    <w:tmpl w:val="8034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3549E"/>
    <w:multiLevelType w:val="hybridMultilevel"/>
    <w:tmpl w:val="CCFC587E"/>
    <w:lvl w:ilvl="0" w:tplc="EB3C2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017EDC"/>
    <w:multiLevelType w:val="hybridMultilevel"/>
    <w:tmpl w:val="1BEEFE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3B97497"/>
    <w:multiLevelType w:val="hybridMultilevel"/>
    <w:tmpl w:val="A57AC2AC"/>
    <w:lvl w:ilvl="0" w:tplc="021C6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14637"/>
    <w:multiLevelType w:val="hybridMultilevel"/>
    <w:tmpl w:val="C866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5"/>
    <w:rsid w:val="000403DE"/>
    <w:rsid w:val="00081A79"/>
    <w:rsid w:val="000E0C95"/>
    <w:rsid w:val="00142837"/>
    <w:rsid w:val="00143852"/>
    <w:rsid w:val="00164122"/>
    <w:rsid w:val="001C459C"/>
    <w:rsid w:val="001D4A52"/>
    <w:rsid w:val="00236847"/>
    <w:rsid w:val="00251C1C"/>
    <w:rsid w:val="002678DA"/>
    <w:rsid w:val="002D4F26"/>
    <w:rsid w:val="002E757B"/>
    <w:rsid w:val="002F2CFD"/>
    <w:rsid w:val="00302CA2"/>
    <w:rsid w:val="00386883"/>
    <w:rsid w:val="003D2977"/>
    <w:rsid w:val="003F3415"/>
    <w:rsid w:val="004121CC"/>
    <w:rsid w:val="00431824"/>
    <w:rsid w:val="0043737A"/>
    <w:rsid w:val="004440DE"/>
    <w:rsid w:val="004759C0"/>
    <w:rsid w:val="004A00EE"/>
    <w:rsid w:val="004D0C51"/>
    <w:rsid w:val="004F0B09"/>
    <w:rsid w:val="00501915"/>
    <w:rsid w:val="00564B33"/>
    <w:rsid w:val="005A2BD5"/>
    <w:rsid w:val="005E16BB"/>
    <w:rsid w:val="00625AFA"/>
    <w:rsid w:val="00632FBB"/>
    <w:rsid w:val="00660D24"/>
    <w:rsid w:val="006A4ED1"/>
    <w:rsid w:val="006B6569"/>
    <w:rsid w:val="00721AEC"/>
    <w:rsid w:val="007C066B"/>
    <w:rsid w:val="007E01E5"/>
    <w:rsid w:val="007F419A"/>
    <w:rsid w:val="0080540A"/>
    <w:rsid w:val="00824D00"/>
    <w:rsid w:val="0084142F"/>
    <w:rsid w:val="0087293B"/>
    <w:rsid w:val="00891B92"/>
    <w:rsid w:val="008C3B86"/>
    <w:rsid w:val="009932D5"/>
    <w:rsid w:val="009B3160"/>
    <w:rsid w:val="009B4878"/>
    <w:rsid w:val="009E63FB"/>
    <w:rsid w:val="009F5992"/>
    <w:rsid w:val="00A84A8C"/>
    <w:rsid w:val="00AA3E22"/>
    <w:rsid w:val="00B1291E"/>
    <w:rsid w:val="00B4231B"/>
    <w:rsid w:val="00B504C2"/>
    <w:rsid w:val="00BD32D7"/>
    <w:rsid w:val="00C05896"/>
    <w:rsid w:val="00C10323"/>
    <w:rsid w:val="00C30F3F"/>
    <w:rsid w:val="00C62D2C"/>
    <w:rsid w:val="00C67686"/>
    <w:rsid w:val="00C676BE"/>
    <w:rsid w:val="00CA28AA"/>
    <w:rsid w:val="00D730E4"/>
    <w:rsid w:val="00D767E7"/>
    <w:rsid w:val="00D9623B"/>
    <w:rsid w:val="00E904D8"/>
    <w:rsid w:val="00EF12D0"/>
    <w:rsid w:val="00F15253"/>
    <w:rsid w:val="00F2426E"/>
    <w:rsid w:val="00F4572A"/>
    <w:rsid w:val="00F86D02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625E64"/>
  <w15:docId w15:val="{5F47F078-B920-4FE5-BF96-7782E2A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0C95"/>
    <w:rPr>
      <w:color w:val="0000EE"/>
      <w:u w:val="single"/>
    </w:rPr>
  </w:style>
  <w:style w:type="character" w:styleId="FollowedHyperlink">
    <w:name w:val="FollowedHyperlink"/>
    <w:uiPriority w:val="99"/>
    <w:semiHidden/>
    <w:unhideWhenUsed/>
    <w:rsid w:val="000E0C95"/>
    <w:rPr>
      <w:color w:val="800080"/>
      <w:u w:val="single"/>
    </w:rPr>
  </w:style>
  <w:style w:type="table" w:styleId="TableGrid">
    <w:name w:val="Table Grid"/>
    <w:basedOn w:val="TableNormal"/>
    <w:uiPriority w:val="59"/>
    <w:rsid w:val="009B4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09"/>
    <w:pPr>
      <w:ind w:left="720"/>
      <w:contextualSpacing/>
    </w:pPr>
  </w:style>
  <w:style w:type="paragraph" w:styleId="NoSpacing">
    <w:name w:val="No Spacing"/>
    <w:uiPriority w:val="1"/>
    <w:qFormat/>
    <w:rsid w:val="001D4A52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0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5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Nanomaterials SOP template</vt:lpstr>
    </vt:vector>
  </TitlesOfParts>
  <Company>OESO - DUHS</Company>
  <LinksUpToDate>false</LinksUpToDate>
  <CharactersWithSpaces>4658</CharactersWithSpaces>
  <SharedDoc>false</SharedDoc>
  <HLinks>
    <vt:vector size="42" baseType="variant">
      <vt:variant>
        <vt:i4>3342462</vt:i4>
      </vt:variant>
      <vt:variant>
        <vt:i4>18</vt:i4>
      </vt:variant>
      <vt:variant>
        <vt:i4>0</vt:i4>
      </vt:variant>
      <vt:variant>
        <vt:i4>5</vt:i4>
      </vt:variant>
      <vt:variant>
        <vt:lpwstr>http://www.hr.duke.edu/benefits/medical/workcomp/report.php</vt:lpwstr>
      </vt:variant>
      <vt:variant>
        <vt:lpwstr/>
      </vt:variant>
      <vt:variant>
        <vt:i4>7667816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http://www.safety.duke.edu/EnvPrograms/Docs/labwastemgt.pdf</vt:lpwstr>
      </vt:variant>
      <vt:variant>
        <vt:lpwstr/>
      </vt:variant>
      <vt:variant>
        <vt:i4>7798828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http://www.safety.duke.edu/SafetyManuals/University/Q-Chemwastemgt.pdf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http://www.safety.duke.edu/LabSafety/Docs/SOP for handling animals dosed with toxic chemicals.doc</vt:lpwstr>
      </vt:variant>
      <vt:variant>
        <vt:lpwstr/>
      </vt:variant>
      <vt:variant>
        <vt:i4>4915290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http://www.safety.duke.edu/OHS/Documents/working_safely_with_toxic_powders.pdf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http://www.safety.duke.edu/OHS/Documents/nanomaterial information sheet.pdf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http://www.safety.duke.edu/OHS/phs.htm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Nanomaterials SOP template</dc:title>
  <dc:creator>Courtney Stanion</dc:creator>
  <cp:keywords>nanomaterials, nanoparticles, nano</cp:keywords>
  <cp:lastModifiedBy>Zachary Smith</cp:lastModifiedBy>
  <cp:revision>5</cp:revision>
  <cp:lastPrinted>2016-04-08T14:40:00Z</cp:lastPrinted>
  <dcterms:created xsi:type="dcterms:W3CDTF">2018-06-20T21:15:00Z</dcterms:created>
  <dcterms:modified xsi:type="dcterms:W3CDTF">2018-06-26T17:55:00Z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