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7306" w14:textId="77777777" w:rsidR="001D0320" w:rsidRDefault="000A3915">
      <w:pPr>
        <w:spacing w:before="31"/>
        <w:ind w:left="1984" w:right="1926"/>
        <w:jc w:val="center"/>
        <w:rPr>
          <w:b/>
          <w:i/>
        </w:rPr>
      </w:pPr>
      <w:r>
        <w:rPr>
          <w:b/>
          <w:i/>
          <w:u w:val="single"/>
        </w:rPr>
        <w:t>2020</w:t>
      </w:r>
      <w:r w:rsidR="004D54F3">
        <w:rPr>
          <w:b/>
          <w:i/>
          <w:u w:val="single"/>
        </w:rPr>
        <w:t xml:space="preserve"> Summer Session Fact Sheet for Academic Faculty</w:t>
      </w:r>
    </w:p>
    <w:p w14:paraId="1CAB74AA" w14:textId="77777777" w:rsidR="001D0320" w:rsidRDefault="001D0320">
      <w:pPr>
        <w:pStyle w:val="BodyText"/>
        <w:spacing w:before="8"/>
        <w:rPr>
          <w:b/>
          <w:i/>
          <w:sz w:val="25"/>
        </w:rPr>
      </w:pPr>
    </w:p>
    <w:tbl>
      <w:tblPr>
        <w:tblW w:w="0" w:type="auto"/>
        <w:tblInd w:w="125" w:type="dxa"/>
        <w:tblLayout w:type="fixed"/>
        <w:tblCellMar>
          <w:left w:w="0" w:type="dxa"/>
          <w:right w:w="0" w:type="dxa"/>
        </w:tblCellMar>
        <w:tblLook w:val="01E0" w:firstRow="1" w:lastRow="1" w:firstColumn="1" w:lastColumn="1" w:noHBand="0" w:noVBand="0"/>
      </w:tblPr>
      <w:tblGrid>
        <w:gridCol w:w="2806"/>
        <w:gridCol w:w="1065"/>
        <w:gridCol w:w="1384"/>
        <w:gridCol w:w="3368"/>
      </w:tblGrid>
      <w:tr w:rsidR="001D0320" w14:paraId="0EE26F61" w14:textId="77777777">
        <w:trPr>
          <w:trHeight w:val="244"/>
        </w:trPr>
        <w:tc>
          <w:tcPr>
            <w:tcW w:w="2806" w:type="dxa"/>
          </w:tcPr>
          <w:p w14:paraId="78A75C2C" w14:textId="77777777" w:rsidR="001D0320" w:rsidRDefault="004D54F3">
            <w:pPr>
              <w:pStyle w:val="TableParagraph"/>
              <w:spacing w:line="225" w:lineRule="exact"/>
              <w:rPr>
                <w:b/>
                <w:i/>
              </w:rPr>
            </w:pPr>
            <w:r>
              <w:rPr>
                <w:b/>
                <w:i/>
                <w:u w:val="single"/>
              </w:rPr>
              <w:t>Session</w:t>
            </w:r>
          </w:p>
        </w:tc>
        <w:tc>
          <w:tcPr>
            <w:tcW w:w="2449" w:type="dxa"/>
            <w:gridSpan w:val="2"/>
          </w:tcPr>
          <w:p w14:paraId="4787E996" w14:textId="77777777" w:rsidR="001D0320" w:rsidRDefault="004D54F3">
            <w:pPr>
              <w:pStyle w:val="TableParagraph"/>
              <w:spacing w:line="225" w:lineRule="exact"/>
              <w:ind w:left="801"/>
              <w:rPr>
                <w:b/>
                <w:i/>
              </w:rPr>
            </w:pPr>
            <w:r>
              <w:rPr>
                <w:b/>
                <w:i/>
                <w:u w:val="single"/>
              </w:rPr>
              <w:t>Dates</w:t>
            </w:r>
          </w:p>
        </w:tc>
        <w:tc>
          <w:tcPr>
            <w:tcW w:w="3368" w:type="dxa"/>
          </w:tcPr>
          <w:p w14:paraId="44190505" w14:textId="77777777" w:rsidR="001D0320" w:rsidRDefault="004D54F3">
            <w:pPr>
              <w:pStyle w:val="TableParagraph"/>
              <w:spacing w:line="225" w:lineRule="exact"/>
              <w:ind w:left="1065"/>
              <w:rPr>
                <w:b/>
                <w:i/>
              </w:rPr>
            </w:pPr>
            <w:r>
              <w:rPr>
                <w:b/>
                <w:i/>
                <w:u w:val="single"/>
              </w:rPr>
              <w:t># working days</w:t>
            </w:r>
          </w:p>
        </w:tc>
      </w:tr>
      <w:tr w:rsidR="001D0320" w14:paraId="62A689A4" w14:textId="77777777">
        <w:trPr>
          <w:trHeight w:val="267"/>
        </w:trPr>
        <w:tc>
          <w:tcPr>
            <w:tcW w:w="2806" w:type="dxa"/>
          </w:tcPr>
          <w:p w14:paraId="1FD7988F" w14:textId="77777777" w:rsidR="001D0320" w:rsidRDefault="001D0320">
            <w:pPr>
              <w:pStyle w:val="TableParagraph"/>
              <w:spacing w:line="240" w:lineRule="auto"/>
              <w:ind w:left="0"/>
              <w:rPr>
                <w:rFonts w:ascii="Times New Roman"/>
                <w:sz w:val="18"/>
              </w:rPr>
            </w:pPr>
          </w:p>
        </w:tc>
        <w:tc>
          <w:tcPr>
            <w:tcW w:w="1065" w:type="dxa"/>
          </w:tcPr>
          <w:p w14:paraId="2D0461E5" w14:textId="77777777" w:rsidR="001D0320" w:rsidRDefault="004D54F3">
            <w:pPr>
              <w:pStyle w:val="TableParagraph"/>
              <w:spacing w:line="248" w:lineRule="exact"/>
              <w:ind w:left="201" w:right="94"/>
              <w:jc w:val="center"/>
            </w:pPr>
            <w:r>
              <w:rPr>
                <w:u w:val="single"/>
              </w:rPr>
              <w:t>Begin</w:t>
            </w:r>
          </w:p>
        </w:tc>
        <w:tc>
          <w:tcPr>
            <w:tcW w:w="1384" w:type="dxa"/>
          </w:tcPr>
          <w:p w14:paraId="1C2C4DA8" w14:textId="77777777" w:rsidR="001D0320" w:rsidRDefault="004D54F3">
            <w:pPr>
              <w:pStyle w:val="TableParagraph"/>
              <w:spacing w:line="248" w:lineRule="exact"/>
              <w:ind w:left="310"/>
            </w:pPr>
            <w:r>
              <w:rPr>
                <w:u w:val="single"/>
              </w:rPr>
              <w:t>End</w:t>
            </w:r>
          </w:p>
        </w:tc>
        <w:tc>
          <w:tcPr>
            <w:tcW w:w="3368" w:type="dxa"/>
          </w:tcPr>
          <w:p w14:paraId="6AABFA19" w14:textId="77777777" w:rsidR="001D0320" w:rsidRDefault="001D0320">
            <w:pPr>
              <w:pStyle w:val="TableParagraph"/>
              <w:spacing w:line="240" w:lineRule="auto"/>
              <w:ind w:left="0"/>
              <w:rPr>
                <w:rFonts w:ascii="Times New Roman"/>
                <w:sz w:val="18"/>
              </w:rPr>
            </w:pPr>
          </w:p>
        </w:tc>
      </w:tr>
      <w:tr w:rsidR="001D0320" w14:paraId="74216920" w14:textId="77777777">
        <w:trPr>
          <w:trHeight w:val="267"/>
        </w:trPr>
        <w:tc>
          <w:tcPr>
            <w:tcW w:w="2806" w:type="dxa"/>
          </w:tcPr>
          <w:p w14:paraId="29FB3C62" w14:textId="77777777" w:rsidR="001D0320" w:rsidRDefault="004D54F3">
            <w:pPr>
              <w:pStyle w:val="TableParagraph"/>
              <w:spacing w:line="247" w:lineRule="exact"/>
            </w:pPr>
            <w:r>
              <w:t>Summer Research</w:t>
            </w:r>
          </w:p>
        </w:tc>
        <w:tc>
          <w:tcPr>
            <w:tcW w:w="1065" w:type="dxa"/>
          </w:tcPr>
          <w:p w14:paraId="26485358" w14:textId="77777777" w:rsidR="001D0320" w:rsidRDefault="000A3915">
            <w:pPr>
              <w:pStyle w:val="TableParagraph"/>
              <w:spacing w:line="247" w:lineRule="exact"/>
              <w:ind w:left="201" w:right="95"/>
              <w:jc w:val="center"/>
            </w:pPr>
            <w:r>
              <w:t>5/11/20</w:t>
            </w:r>
          </w:p>
        </w:tc>
        <w:tc>
          <w:tcPr>
            <w:tcW w:w="1384" w:type="dxa"/>
          </w:tcPr>
          <w:p w14:paraId="3FB22558" w14:textId="77777777" w:rsidR="001D0320" w:rsidRDefault="000A3915">
            <w:pPr>
              <w:pStyle w:val="TableParagraph"/>
              <w:spacing w:line="247" w:lineRule="exact"/>
              <w:ind w:left="116"/>
            </w:pPr>
            <w:r>
              <w:t>8/13/20</w:t>
            </w:r>
          </w:p>
        </w:tc>
        <w:tc>
          <w:tcPr>
            <w:tcW w:w="3368" w:type="dxa"/>
          </w:tcPr>
          <w:p w14:paraId="304F7AA9" w14:textId="033008A9" w:rsidR="001D0320" w:rsidRDefault="004D54F3">
            <w:pPr>
              <w:pStyle w:val="TableParagraph"/>
              <w:spacing w:line="247" w:lineRule="exact"/>
              <w:ind w:left="541"/>
            </w:pPr>
            <w:r>
              <w:t>maximum of 7</w:t>
            </w:r>
            <w:r w:rsidR="00BA4440">
              <w:t>5</w:t>
            </w:r>
            <w:r>
              <w:t xml:space="preserve"> working days</w:t>
            </w:r>
          </w:p>
        </w:tc>
      </w:tr>
      <w:tr w:rsidR="001D0320" w14:paraId="460C065B" w14:textId="77777777">
        <w:trPr>
          <w:trHeight w:val="268"/>
        </w:trPr>
        <w:tc>
          <w:tcPr>
            <w:tcW w:w="2806" w:type="dxa"/>
          </w:tcPr>
          <w:p w14:paraId="40CAF89F" w14:textId="77777777" w:rsidR="001D0320" w:rsidRDefault="000A3915">
            <w:pPr>
              <w:pStyle w:val="TableParagraph"/>
            </w:pPr>
            <w:r>
              <w:t>Summer First 6 Weeks</w:t>
            </w:r>
          </w:p>
        </w:tc>
        <w:tc>
          <w:tcPr>
            <w:tcW w:w="1065" w:type="dxa"/>
          </w:tcPr>
          <w:p w14:paraId="45B0B950" w14:textId="77777777" w:rsidR="001D0320" w:rsidRDefault="000A3915">
            <w:pPr>
              <w:pStyle w:val="TableParagraph"/>
              <w:ind w:left="201" w:right="95"/>
              <w:jc w:val="center"/>
            </w:pPr>
            <w:r>
              <w:t>5/11/20</w:t>
            </w:r>
          </w:p>
        </w:tc>
        <w:tc>
          <w:tcPr>
            <w:tcW w:w="1384" w:type="dxa"/>
          </w:tcPr>
          <w:p w14:paraId="27C20BD4" w14:textId="77777777" w:rsidR="001D0320" w:rsidRDefault="000A3915">
            <w:pPr>
              <w:pStyle w:val="TableParagraph"/>
              <w:ind w:left="116"/>
            </w:pPr>
            <w:r>
              <w:t>6/19/20</w:t>
            </w:r>
          </w:p>
        </w:tc>
        <w:tc>
          <w:tcPr>
            <w:tcW w:w="3368" w:type="dxa"/>
          </w:tcPr>
          <w:p w14:paraId="5A4C8EB8" w14:textId="77777777" w:rsidR="001D0320" w:rsidRDefault="004D54F3">
            <w:pPr>
              <w:pStyle w:val="TableParagraph"/>
              <w:ind w:left="1386" w:right="1719"/>
              <w:jc w:val="center"/>
            </w:pPr>
            <w:r>
              <w:t>30</w:t>
            </w:r>
          </w:p>
        </w:tc>
      </w:tr>
      <w:tr w:rsidR="001D0320" w14:paraId="25F7C36F" w14:textId="77777777">
        <w:trPr>
          <w:trHeight w:val="268"/>
        </w:trPr>
        <w:tc>
          <w:tcPr>
            <w:tcW w:w="2806" w:type="dxa"/>
          </w:tcPr>
          <w:p w14:paraId="565C9EE8" w14:textId="77777777" w:rsidR="001D0320" w:rsidRDefault="000A3915">
            <w:pPr>
              <w:pStyle w:val="TableParagraph"/>
            </w:pPr>
            <w:r>
              <w:t>Summer Second 6 Weeks</w:t>
            </w:r>
          </w:p>
        </w:tc>
        <w:tc>
          <w:tcPr>
            <w:tcW w:w="1065" w:type="dxa"/>
          </w:tcPr>
          <w:p w14:paraId="3A491FEB" w14:textId="77777777" w:rsidR="001D0320" w:rsidRDefault="000A3915">
            <w:pPr>
              <w:pStyle w:val="TableParagraph"/>
              <w:ind w:left="201" w:right="95"/>
              <w:jc w:val="center"/>
            </w:pPr>
            <w:r>
              <w:t>6/22/20</w:t>
            </w:r>
          </w:p>
        </w:tc>
        <w:tc>
          <w:tcPr>
            <w:tcW w:w="1384" w:type="dxa"/>
          </w:tcPr>
          <w:p w14:paraId="225A5AF5" w14:textId="77777777" w:rsidR="001D0320" w:rsidRDefault="000A3915" w:rsidP="000A3915">
            <w:pPr>
              <w:pStyle w:val="TableParagraph"/>
              <w:ind w:left="171"/>
            </w:pPr>
            <w:r>
              <w:t>7/31/20</w:t>
            </w:r>
          </w:p>
        </w:tc>
        <w:tc>
          <w:tcPr>
            <w:tcW w:w="3368" w:type="dxa"/>
          </w:tcPr>
          <w:p w14:paraId="7F6021A5" w14:textId="77777777" w:rsidR="001D0320" w:rsidRDefault="004D54F3">
            <w:pPr>
              <w:pStyle w:val="TableParagraph"/>
              <w:ind w:left="1386" w:right="1719"/>
              <w:jc w:val="center"/>
            </w:pPr>
            <w:r>
              <w:t>30</w:t>
            </w:r>
          </w:p>
        </w:tc>
      </w:tr>
      <w:tr w:rsidR="001D0320" w14:paraId="36796249" w14:textId="77777777">
        <w:trPr>
          <w:trHeight w:val="244"/>
        </w:trPr>
        <w:tc>
          <w:tcPr>
            <w:tcW w:w="2806" w:type="dxa"/>
          </w:tcPr>
          <w:p w14:paraId="2D1142FB" w14:textId="77777777" w:rsidR="001D0320" w:rsidRDefault="004D54F3" w:rsidP="000A3915">
            <w:pPr>
              <w:pStyle w:val="TableParagraph"/>
              <w:spacing w:line="225" w:lineRule="exact"/>
              <w:rPr>
                <w:b/>
              </w:rPr>
            </w:pPr>
            <w:r>
              <w:t xml:space="preserve">Summer </w:t>
            </w:r>
            <w:r w:rsidR="000A3915">
              <w:t>8 Week (Physics)</w:t>
            </w:r>
          </w:p>
        </w:tc>
        <w:tc>
          <w:tcPr>
            <w:tcW w:w="1065" w:type="dxa"/>
          </w:tcPr>
          <w:p w14:paraId="0A435FDE" w14:textId="77777777" w:rsidR="001D0320" w:rsidRDefault="004D54F3">
            <w:pPr>
              <w:pStyle w:val="TableParagraph"/>
              <w:spacing w:line="225" w:lineRule="exact"/>
              <w:ind w:left="201" w:right="95"/>
              <w:jc w:val="center"/>
            </w:pPr>
            <w:r>
              <w:t>6</w:t>
            </w:r>
            <w:r w:rsidR="000A3915">
              <w:t>/22/20</w:t>
            </w:r>
          </w:p>
        </w:tc>
        <w:tc>
          <w:tcPr>
            <w:tcW w:w="1384" w:type="dxa"/>
          </w:tcPr>
          <w:p w14:paraId="55C18277" w14:textId="6A46AC70" w:rsidR="001D0320" w:rsidRDefault="000A3915">
            <w:pPr>
              <w:pStyle w:val="TableParagraph"/>
              <w:spacing w:line="225" w:lineRule="exact"/>
              <w:ind w:left="116"/>
            </w:pPr>
            <w:r>
              <w:t>8/1</w:t>
            </w:r>
            <w:r w:rsidR="00BA4440">
              <w:t>4</w:t>
            </w:r>
            <w:r>
              <w:t>/20</w:t>
            </w:r>
          </w:p>
        </w:tc>
        <w:tc>
          <w:tcPr>
            <w:tcW w:w="3368" w:type="dxa"/>
          </w:tcPr>
          <w:p w14:paraId="7BB6FF9F" w14:textId="77777777" w:rsidR="001D0320" w:rsidRDefault="004D54F3">
            <w:pPr>
              <w:pStyle w:val="TableParagraph"/>
              <w:spacing w:line="225" w:lineRule="exact"/>
              <w:ind w:left="1386" w:right="1719"/>
              <w:jc w:val="center"/>
            </w:pPr>
            <w:r>
              <w:t>40</w:t>
            </w:r>
          </w:p>
        </w:tc>
      </w:tr>
    </w:tbl>
    <w:p w14:paraId="69BC572B" w14:textId="77777777" w:rsidR="001D0320" w:rsidRDefault="001D0320">
      <w:pPr>
        <w:pStyle w:val="BodyText"/>
        <w:spacing w:before="4"/>
        <w:rPr>
          <w:b/>
          <w:i/>
        </w:rPr>
      </w:pPr>
    </w:p>
    <w:p w14:paraId="796905DA" w14:textId="34523D06" w:rsidR="001D0320" w:rsidRDefault="004D54F3" w:rsidP="006D16C9">
      <w:pPr>
        <w:ind w:left="1985" w:right="1270"/>
        <w:jc w:val="center"/>
        <w:rPr>
          <w:b/>
        </w:rPr>
      </w:pPr>
      <w:r>
        <w:rPr>
          <w:b/>
        </w:rPr>
        <w:t>Total number of days available to be paid over the summer is 7</w:t>
      </w:r>
      <w:r w:rsidR="00BA4440">
        <w:rPr>
          <w:b/>
        </w:rPr>
        <w:t>5</w:t>
      </w:r>
    </w:p>
    <w:p w14:paraId="4D12785A" w14:textId="77777777" w:rsidR="001D0320" w:rsidRDefault="001D0320">
      <w:pPr>
        <w:pStyle w:val="BodyText"/>
        <w:rPr>
          <w:b/>
        </w:rPr>
      </w:pPr>
    </w:p>
    <w:p w14:paraId="589FEDC9" w14:textId="77777777" w:rsidR="001D0320" w:rsidRDefault="004D54F3">
      <w:pPr>
        <w:pStyle w:val="BodyText"/>
        <w:spacing w:before="1"/>
        <w:ind w:left="115"/>
      </w:pPr>
      <w:r>
        <w:rPr>
          <w:u w:val="single"/>
        </w:rPr>
        <w:t>Position Numbers</w:t>
      </w:r>
    </w:p>
    <w:p w14:paraId="0A7210BD" w14:textId="77777777" w:rsidR="001D0320" w:rsidRDefault="004D54F3">
      <w:pPr>
        <w:pStyle w:val="BodyText"/>
        <w:ind w:left="115" w:right="222"/>
      </w:pPr>
      <w:r>
        <w:t>The following position number suffixes are used during the summer to distinguish the types of work being done by academic faculty, nine month employees. The following suffixes are used at the end of the academic year position number as follows: 000111- S1.</w:t>
      </w:r>
    </w:p>
    <w:p w14:paraId="54F8D888" w14:textId="77777777" w:rsidR="001D0320" w:rsidRDefault="001D0320">
      <w:pPr>
        <w:pStyle w:val="BodyText"/>
        <w:spacing w:before="5" w:after="1"/>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9506"/>
      </w:tblGrid>
      <w:tr w:rsidR="001D0320" w14:paraId="7F36C1DA" w14:textId="77777777">
        <w:trPr>
          <w:trHeight w:val="244"/>
        </w:trPr>
        <w:tc>
          <w:tcPr>
            <w:tcW w:w="9506" w:type="dxa"/>
          </w:tcPr>
          <w:p w14:paraId="6997CA3F" w14:textId="77777777" w:rsidR="001D0320" w:rsidRDefault="004D54F3">
            <w:pPr>
              <w:pStyle w:val="TableParagraph"/>
              <w:spacing w:line="225" w:lineRule="exact"/>
            </w:pPr>
            <w:r>
              <w:t>S1 - Summer First 6 Weeks (May and June)</w:t>
            </w:r>
          </w:p>
        </w:tc>
      </w:tr>
      <w:tr w:rsidR="001D0320" w14:paraId="0F9E2215" w14:textId="77777777">
        <w:trPr>
          <w:trHeight w:val="268"/>
        </w:trPr>
        <w:tc>
          <w:tcPr>
            <w:tcW w:w="9506" w:type="dxa"/>
          </w:tcPr>
          <w:p w14:paraId="72B7C8C5" w14:textId="77777777" w:rsidR="001D0320" w:rsidRDefault="004D54F3">
            <w:pPr>
              <w:pStyle w:val="TableParagraph"/>
            </w:pPr>
            <w:r>
              <w:t>S2 - Summer Second 6 Weeks and 8 Week Session (June, July and August)</w:t>
            </w:r>
          </w:p>
        </w:tc>
      </w:tr>
      <w:tr w:rsidR="001D0320" w14:paraId="2CE6467A" w14:textId="77777777">
        <w:trPr>
          <w:trHeight w:val="268"/>
        </w:trPr>
        <w:tc>
          <w:tcPr>
            <w:tcW w:w="9506" w:type="dxa"/>
          </w:tcPr>
          <w:p w14:paraId="408E447D" w14:textId="77777777" w:rsidR="001D0320" w:rsidRDefault="004D54F3">
            <w:pPr>
              <w:pStyle w:val="TableParagraph"/>
            </w:pPr>
            <w:r>
              <w:t>CE - Short Course - Continuing Education</w:t>
            </w:r>
          </w:p>
        </w:tc>
      </w:tr>
      <w:tr w:rsidR="001D0320" w14:paraId="114B022C" w14:textId="77777777">
        <w:trPr>
          <w:trHeight w:val="268"/>
        </w:trPr>
        <w:tc>
          <w:tcPr>
            <w:tcW w:w="9506" w:type="dxa"/>
          </w:tcPr>
          <w:p w14:paraId="192A92B6" w14:textId="77777777" w:rsidR="001D0320" w:rsidRDefault="004D54F3">
            <w:pPr>
              <w:pStyle w:val="TableParagraph"/>
            </w:pPr>
            <w:r>
              <w:t>SR - Academic Faculty doing Summer Research</w:t>
            </w:r>
          </w:p>
        </w:tc>
      </w:tr>
      <w:tr w:rsidR="001D0320" w14:paraId="1F1119B8" w14:textId="77777777">
        <w:trPr>
          <w:trHeight w:val="537"/>
        </w:trPr>
        <w:tc>
          <w:tcPr>
            <w:tcW w:w="9506" w:type="dxa"/>
          </w:tcPr>
          <w:p w14:paraId="059F125A" w14:textId="77777777" w:rsidR="001D0320" w:rsidRDefault="004D54F3">
            <w:pPr>
              <w:pStyle w:val="TableParagraph"/>
            </w:pPr>
            <w:r>
              <w:t>OR - Other Appointment (anything other than teaching, dates can fall anywhere between the summer</w:t>
            </w:r>
          </w:p>
          <w:p w14:paraId="428FBB4C" w14:textId="77777777" w:rsidR="001D0320" w:rsidRDefault="004D54F3">
            <w:pPr>
              <w:pStyle w:val="TableParagraph"/>
              <w:spacing w:line="240" w:lineRule="auto"/>
            </w:pPr>
            <w:r>
              <w:t>date range)</w:t>
            </w:r>
          </w:p>
        </w:tc>
      </w:tr>
      <w:tr w:rsidR="001D0320" w14:paraId="202AF181" w14:textId="77777777">
        <w:trPr>
          <w:trHeight w:val="268"/>
        </w:trPr>
        <w:tc>
          <w:tcPr>
            <w:tcW w:w="9506" w:type="dxa"/>
          </w:tcPr>
          <w:p w14:paraId="6E1469C7" w14:textId="77777777" w:rsidR="001D0320" w:rsidRDefault="004D54F3">
            <w:pPr>
              <w:pStyle w:val="TableParagraph"/>
            </w:pPr>
            <w:r>
              <w:t>WS – Workshops</w:t>
            </w:r>
          </w:p>
        </w:tc>
      </w:tr>
      <w:tr w:rsidR="001D0320" w14:paraId="7D0C6B34" w14:textId="77777777">
        <w:trPr>
          <w:trHeight w:val="244"/>
        </w:trPr>
        <w:tc>
          <w:tcPr>
            <w:tcW w:w="9506" w:type="dxa"/>
          </w:tcPr>
          <w:p w14:paraId="2A7F9F3B" w14:textId="77777777" w:rsidR="001D0320" w:rsidRDefault="004D54F3">
            <w:pPr>
              <w:pStyle w:val="TableParagraph"/>
              <w:spacing w:line="225" w:lineRule="exact"/>
            </w:pPr>
            <w:r>
              <w:t>CA – Athletic Camps</w:t>
            </w:r>
          </w:p>
        </w:tc>
      </w:tr>
    </w:tbl>
    <w:p w14:paraId="6079A2C0" w14:textId="77777777" w:rsidR="001D0320" w:rsidRDefault="001D0320">
      <w:pPr>
        <w:pStyle w:val="BodyText"/>
        <w:spacing w:before="1"/>
      </w:pPr>
    </w:p>
    <w:p w14:paraId="35657924" w14:textId="77777777" w:rsidR="001D0320" w:rsidRDefault="004D54F3">
      <w:pPr>
        <w:pStyle w:val="BodyText"/>
        <w:spacing w:before="1"/>
        <w:ind w:left="115"/>
      </w:pPr>
      <w:r>
        <w:t>In General:</w:t>
      </w:r>
    </w:p>
    <w:p w14:paraId="10E5284E" w14:textId="77777777" w:rsidR="001D0320" w:rsidRDefault="004D54F3">
      <w:pPr>
        <w:pStyle w:val="ListParagraph"/>
        <w:numPr>
          <w:ilvl w:val="0"/>
          <w:numId w:val="1"/>
        </w:numPr>
        <w:tabs>
          <w:tab w:val="left" w:pos="836"/>
        </w:tabs>
        <w:ind w:right="555"/>
      </w:pPr>
      <w:r>
        <w:t>The first and second parts of Summer classes are scheduled for standard times; we only rarely have custom schedules (in terms of start week and end week) for the classes. This is communicated by the Registrar.</w:t>
      </w:r>
    </w:p>
    <w:p w14:paraId="42480417" w14:textId="77777777" w:rsidR="001D0320" w:rsidRDefault="001D0320">
      <w:pPr>
        <w:pStyle w:val="BodyText"/>
      </w:pPr>
    </w:p>
    <w:p w14:paraId="5FD1B255" w14:textId="77777777" w:rsidR="001D0320" w:rsidRDefault="004D54F3">
      <w:pPr>
        <w:pStyle w:val="ListParagraph"/>
        <w:numPr>
          <w:ilvl w:val="0"/>
          <w:numId w:val="1"/>
        </w:numPr>
        <w:tabs>
          <w:tab w:val="left" w:pos="836"/>
        </w:tabs>
        <w:ind w:right="853"/>
      </w:pPr>
      <w:r>
        <w:t>Field session classes ARE scheduled as full day experiences with a start and end date that is controlled by the</w:t>
      </w:r>
      <w:r>
        <w:rPr>
          <w:spacing w:val="-5"/>
        </w:rPr>
        <w:t xml:space="preserve"> </w:t>
      </w:r>
      <w:r>
        <w:t>department</w:t>
      </w:r>
    </w:p>
    <w:p w14:paraId="0AB347C4" w14:textId="77777777" w:rsidR="001D0320" w:rsidRDefault="001D0320">
      <w:pPr>
        <w:pStyle w:val="BodyText"/>
        <w:spacing w:before="3"/>
      </w:pPr>
    </w:p>
    <w:p w14:paraId="1AD4D85D" w14:textId="77777777" w:rsidR="001D0320" w:rsidRDefault="004D54F3">
      <w:pPr>
        <w:pStyle w:val="ListParagraph"/>
        <w:numPr>
          <w:ilvl w:val="0"/>
          <w:numId w:val="1"/>
        </w:numPr>
        <w:tabs>
          <w:tab w:val="left" w:pos="836"/>
        </w:tabs>
        <w:spacing w:line="237" w:lineRule="auto"/>
        <w:ind w:right="551"/>
      </w:pPr>
      <w:r>
        <w:t>Compensation for field classes is on a daily basis, with each day paid at 0.005405405 times the academic year</w:t>
      </w:r>
      <w:r>
        <w:rPr>
          <w:spacing w:val="-1"/>
        </w:rPr>
        <w:t xml:space="preserve"> </w:t>
      </w:r>
      <w:r>
        <w:t>salary</w:t>
      </w:r>
    </w:p>
    <w:p w14:paraId="727D1710" w14:textId="77777777" w:rsidR="001D0320" w:rsidRDefault="001D0320">
      <w:pPr>
        <w:pStyle w:val="BodyText"/>
        <w:spacing w:before="1"/>
      </w:pPr>
    </w:p>
    <w:p w14:paraId="43EAB241" w14:textId="77777777" w:rsidR="001D0320" w:rsidRDefault="004D54F3">
      <w:pPr>
        <w:pStyle w:val="ListParagraph"/>
        <w:numPr>
          <w:ilvl w:val="0"/>
          <w:numId w:val="1"/>
        </w:numPr>
        <w:tabs>
          <w:tab w:val="left" w:pos="836"/>
        </w:tabs>
        <w:ind w:left="834" w:hanging="359"/>
      </w:pPr>
      <w:r>
        <w:t xml:space="preserve">Compensation for summer classes is 4.1667% of academic salary per credit hour. Department budget for summer classes is based on overall SCH delivered by the department. Departments shall receive $250/SCH for each SCH delivered. Departmental budget must cover all costs of instruction (faculty salary, fringe, TA support, etc.). Departments retain any budget overages as roll-forward budget that can be used upon the discretion of the Department Head. Likewise, any department </w:t>
      </w:r>
      <w:proofErr w:type="spellStart"/>
      <w:r>
        <w:t>underages</w:t>
      </w:r>
      <w:proofErr w:type="spellEnd"/>
      <w:r>
        <w:t xml:space="preserve"> must be covered by the</w:t>
      </w:r>
      <w:r>
        <w:rPr>
          <w:spacing w:val="-2"/>
        </w:rPr>
        <w:t xml:space="preserve"> </w:t>
      </w:r>
      <w:r>
        <w:t>department.</w:t>
      </w:r>
    </w:p>
    <w:p w14:paraId="1DC541C1" w14:textId="77777777" w:rsidR="001D0320" w:rsidRDefault="001D0320">
      <w:pPr>
        <w:pStyle w:val="BodyText"/>
        <w:spacing w:before="12"/>
        <w:rPr>
          <w:sz w:val="21"/>
        </w:rPr>
      </w:pPr>
    </w:p>
    <w:p w14:paraId="3378504C" w14:textId="77777777" w:rsidR="001D0320" w:rsidRDefault="004D54F3">
      <w:pPr>
        <w:pStyle w:val="ListParagraph"/>
        <w:numPr>
          <w:ilvl w:val="0"/>
          <w:numId w:val="1"/>
        </w:numPr>
        <w:tabs>
          <w:tab w:val="left" w:pos="835"/>
        </w:tabs>
        <w:ind w:left="834" w:right="431"/>
      </w:pPr>
      <w:r>
        <w:t>If a class is canceled, it is the responsibility of the department to cancel it with the Registrar and send an email to registered students noting that it has been</w:t>
      </w:r>
      <w:r>
        <w:rPr>
          <w:spacing w:val="-12"/>
        </w:rPr>
        <w:t xml:space="preserve"> </w:t>
      </w:r>
      <w:r>
        <w:t>canceled.</w:t>
      </w:r>
    </w:p>
    <w:p w14:paraId="29AD3C84" w14:textId="77777777" w:rsidR="001D0320" w:rsidRDefault="001D0320">
      <w:pPr>
        <w:pStyle w:val="BodyText"/>
      </w:pPr>
    </w:p>
    <w:p w14:paraId="75F763AD" w14:textId="77777777" w:rsidR="001D0320" w:rsidRDefault="004D54F3">
      <w:pPr>
        <w:pStyle w:val="ListParagraph"/>
        <w:numPr>
          <w:ilvl w:val="0"/>
          <w:numId w:val="1"/>
        </w:numPr>
        <w:tabs>
          <w:tab w:val="left" w:pos="835"/>
        </w:tabs>
        <w:ind w:left="834" w:right="259"/>
      </w:pPr>
      <w:r>
        <w:t>Initial budgets for departments will be based on delivery of $250/SCH to each department using a list of projected classes and projected student enrollments. Once enrollments and classes</w:t>
      </w:r>
      <w:r>
        <w:rPr>
          <w:spacing w:val="-25"/>
        </w:rPr>
        <w:t xml:space="preserve"> </w:t>
      </w:r>
      <w:r>
        <w:t>are</w:t>
      </w:r>
    </w:p>
    <w:p w14:paraId="2EB7C7E1" w14:textId="77777777" w:rsidR="001D0320" w:rsidRDefault="001D0320">
      <w:pPr>
        <w:sectPr w:rsidR="001D0320">
          <w:type w:val="continuous"/>
          <w:pgSz w:w="12240" w:h="15840"/>
          <w:pgMar w:top="1120" w:right="1240" w:bottom="280" w:left="1180" w:header="720" w:footer="720" w:gutter="0"/>
          <w:cols w:space="720"/>
        </w:sectPr>
      </w:pPr>
    </w:p>
    <w:p w14:paraId="5B7BC918" w14:textId="77777777" w:rsidR="001D0320" w:rsidRDefault="004D54F3">
      <w:pPr>
        <w:pStyle w:val="BodyText"/>
        <w:spacing w:before="31"/>
        <w:ind w:left="836" w:right="375"/>
      </w:pPr>
      <w:r>
        <w:lastRenderedPageBreak/>
        <w:t>finalized at census date, budget allocations to the departments will be trued up to actual classes offered, actual enrollment, and delivery of SCH beyond the past three-year average.</w:t>
      </w:r>
    </w:p>
    <w:p w14:paraId="36DE8D10" w14:textId="77777777" w:rsidR="001D0320" w:rsidRDefault="001D0320">
      <w:pPr>
        <w:pStyle w:val="BodyText"/>
      </w:pPr>
    </w:p>
    <w:p w14:paraId="12D67582" w14:textId="77777777" w:rsidR="001D0320" w:rsidRDefault="004D54F3">
      <w:pPr>
        <w:pStyle w:val="BodyText"/>
        <w:spacing w:before="1" w:line="477" w:lineRule="auto"/>
        <w:ind w:left="115" w:right="6300"/>
      </w:pPr>
      <w:r>
        <w:t>Examples are shown on the next page EXAMPLES:</w:t>
      </w:r>
    </w:p>
    <w:p w14:paraId="4866B5C5" w14:textId="77777777" w:rsidR="001D0320" w:rsidRDefault="004D54F3">
      <w:pPr>
        <w:pStyle w:val="BodyText"/>
        <w:spacing w:before="4"/>
        <w:ind w:left="115"/>
      </w:pPr>
      <w:r>
        <w:rPr>
          <w:u w:val="single"/>
        </w:rPr>
        <w:t xml:space="preserve">Calculation of Compensation for Academic Faculty during the Summer </w:t>
      </w:r>
      <w:r>
        <w:rPr>
          <w:b/>
          <w:u w:val="single"/>
        </w:rPr>
        <w:t xml:space="preserve">FIELD-ONLY </w:t>
      </w:r>
      <w:r>
        <w:rPr>
          <w:u w:val="single"/>
        </w:rPr>
        <w:t>Sessions</w:t>
      </w:r>
    </w:p>
    <w:p w14:paraId="27583397" w14:textId="77777777" w:rsidR="001D0320" w:rsidRDefault="001D0320">
      <w:pPr>
        <w:pStyle w:val="BodyText"/>
        <w:spacing w:before="5"/>
        <w:rPr>
          <w:sz w:val="17"/>
        </w:rPr>
      </w:pPr>
    </w:p>
    <w:p w14:paraId="7DBFE658" w14:textId="77777777" w:rsidR="001D0320" w:rsidRDefault="004D54F3">
      <w:pPr>
        <w:pStyle w:val="BodyText"/>
        <w:spacing w:before="56"/>
        <w:ind w:left="115" w:right="332"/>
      </w:pPr>
      <w:r>
        <w:t>To calculate the salary amount that academic faculty are to be paid for the summer FIELD, we use a daily rate based on the academic year. The daily rate is calculated in the following manner:</w:t>
      </w:r>
    </w:p>
    <w:p w14:paraId="45F4AA8A" w14:textId="77777777" w:rsidR="001D0320" w:rsidRDefault="001D0320">
      <w:pPr>
        <w:pStyle w:val="BodyText"/>
        <w:spacing w:before="8"/>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555"/>
      </w:tblGrid>
      <w:tr w:rsidR="001D0320" w14:paraId="562AD9F0" w14:textId="77777777">
        <w:trPr>
          <w:trHeight w:val="244"/>
        </w:trPr>
        <w:tc>
          <w:tcPr>
            <w:tcW w:w="5555" w:type="dxa"/>
          </w:tcPr>
          <w:p w14:paraId="563F519D" w14:textId="77777777" w:rsidR="001D0320" w:rsidRDefault="004D54F3">
            <w:pPr>
              <w:pStyle w:val="TableParagraph"/>
              <w:spacing w:line="225" w:lineRule="exact"/>
            </w:pPr>
            <w:r>
              <w:t>37 weeks in an academic year</w:t>
            </w:r>
          </w:p>
        </w:tc>
      </w:tr>
      <w:tr w:rsidR="001D0320" w14:paraId="6BD72A25" w14:textId="77777777">
        <w:trPr>
          <w:trHeight w:val="267"/>
        </w:trPr>
        <w:tc>
          <w:tcPr>
            <w:tcW w:w="5555" w:type="dxa"/>
          </w:tcPr>
          <w:p w14:paraId="44F7A73A" w14:textId="77777777" w:rsidR="001D0320" w:rsidRDefault="004D54F3">
            <w:pPr>
              <w:pStyle w:val="TableParagraph"/>
              <w:spacing w:line="248" w:lineRule="exact"/>
            </w:pPr>
            <w:r>
              <w:t>37x40 hours per week = 1,480 hours in the academic year</w:t>
            </w:r>
          </w:p>
        </w:tc>
      </w:tr>
      <w:tr w:rsidR="001D0320" w14:paraId="0942F50F" w14:textId="77777777">
        <w:trPr>
          <w:trHeight w:val="267"/>
        </w:trPr>
        <w:tc>
          <w:tcPr>
            <w:tcW w:w="5555" w:type="dxa"/>
          </w:tcPr>
          <w:p w14:paraId="3878B19F" w14:textId="77777777" w:rsidR="001D0320" w:rsidRDefault="004D54F3">
            <w:pPr>
              <w:pStyle w:val="TableParagraph"/>
              <w:spacing w:line="247" w:lineRule="exact"/>
            </w:pPr>
            <w:r>
              <w:t>1,480/8hours = 185 days in the academic year</w:t>
            </w:r>
          </w:p>
        </w:tc>
      </w:tr>
      <w:tr w:rsidR="001D0320" w14:paraId="28FA65E1" w14:textId="77777777">
        <w:trPr>
          <w:trHeight w:val="244"/>
        </w:trPr>
        <w:tc>
          <w:tcPr>
            <w:tcW w:w="5555" w:type="dxa"/>
          </w:tcPr>
          <w:p w14:paraId="68C0012F" w14:textId="77777777" w:rsidR="001D0320" w:rsidRDefault="004D54F3">
            <w:pPr>
              <w:pStyle w:val="TableParagraph"/>
              <w:spacing w:line="225" w:lineRule="exact"/>
            </w:pPr>
            <w:r>
              <w:t>1 day/185 = .005405405</w:t>
            </w:r>
          </w:p>
        </w:tc>
      </w:tr>
    </w:tbl>
    <w:p w14:paraId="2923419B" w14:textId="77777777" w:rsidR="001D0320" w:rsidRDefault="001D0320">
      <w:pPr>
        <w:pStyle w:val="BodyText"/>
        <w:spacing w:before="4"/>
      </w:pPr>
    </w:p>
    <w:p w14:paraId="48989B1E" w14:textId="77777777" w:rsidR="001D0320" w:rsidRDefault="004D54F3">
      <w:pPr>
        <w:pStyle w:val="BodyText"/>
        <w:ind w:left="116" w:right="3554"/>
      </w:pPr>
      <w:r>
        <w:t>Example: Joe Smith has an annual base salary of $70,000. Calculation: $70,000 x .005405405 = $378.38 per day</w:t>
      </w:r>
    </w:p>
    <w:p w14:paraId="2183B680" w14:textId="77777777" w:rsidR="001D0320" w:rsidRDefault="004D54F3">
      <w:pPr>
        <w:pStyle w:val="BodyText"/>
        <w:ind w:left="116" w:right="324"/>
      </w:pPr>
      <w:r>
        <w:t>The $378.380 would then be multiplied by the number of days worked, and then by the percent of effort for the time period.</w:t>
      </w:r>
    </w:p>
    <w:p w14:paraId="54FD15DB" w14:textId="77777777" w:rsidR="001D0320" w:rsidRDefault="001D0320">
      <w:pPr>
        <w:pStyle w:val="BodyText"/>
      </w:pPr>
    </w:p>
    <w:p w14:paraId="0C3C45BC" w14:textId="77777777" w:rsidR="001D0320" w:rsidRDefault="001D0320">
      <w:pPr>
        <w:pStyle w:val="BodyText"/>
      </w:pPr>
    </w:p>
    <w:p w14:paraId="7F4BE23C" w14:textId="77777777" w:rsidR="001D0320" w:rsidRDefault="001D0320">
      <w:pPr>
        <w:pStyle w:val="BodyText"/>
        <w:spacing w:before="11"/>
        <w:rPr>
          <w:sz w:val="21"/>
        </w:rPr>
      </w:pPr>
    </w:p>
    <w:p w14:paraId="1D3306B1" w14:textId="77777777" w:rsidR="001D0320" w:rsidRDefault="004D54F3">
      <w:pPr>
        <w:pStyle w:val="BodyText"/>
        <w:spacing w:before="1"/>
        <w:ind w:left="115"/>
      </w:pPr>
      <w:r>
        <w:rPr>
          <w:u w:val="single"/>
        </w:rPr>
        <w:t>Calculation of Compensation for Academic Faculty during the Summer Sessions</w:t>
      </w:r>
    </w:p>
    <w:p w14:paraId="4994878C" w14:textId="77777777" w:rsidR="001D0320" w:rsidRDefault="001D0320">
      <w:pPr>
        <w:pStyle w:val="BodyText"/>
        <w:spacing w:before="5"/>
        <w:rPr>
          <w:sz w:val="17"/>
        </w:rPr>
      </w:pPr>
    </w:p>
    <w:p w14:paraId="6220D821" w14:textId="77777777" w:rsidR="001D0320" w:rsidRDefault="004D54F3">
      <w:pPr>
        <w:pStyle w:val="BodyText"/>
        <w:spacing w:before="56"/>
        <w:ind w:left="116" w:hanging="1"/>
      </w:pPr>
      <w:r>
        <w:t>Compensation for summer classes is 4.1667% of academic salary per credit hour. This is calculated in the following manner:</w:t>
      </w:r>
    </w:p>
    <w:p w14:paraId="211054C3" w14:textId="77777777" w:rsidR="001D0320" w:rsidRDefault="001D0320">
      <w:pPr>
        <w:pStyle w:val="BodyText"/>
      </w:pPr>
    </w:p>
    <w:p w14:paraId="0A909077" w14:textId="77777777" w:rsidR="001D0320" w:rsidRDefault="004D54F3">
      <w:pPr>
        <w:pStyle w:val="BodyText"/>
        <w:spacing w:before="1"/>
        <w:ind w:left="116" w:right="3554"/>
      </w:pPr>
      <w:r>
        <w:t>Example: Joe Smith has an annual base salary of $70,000. Calculation: $70,000 x .041667 x 3 (# of credit hours) = $8,750</w:t>
      </w:r>
    </w:p>
    <w:p w14:paraId="6702CD9D" w14:textId="77777777" w:rsidR="001D0320" w:rsidRDefault="004D54F3">
      <w:pPr>
        <w:pStyle w:val="BodyText"/>
        <w:ind w:left="116"/>
      </w:pPr>
      <w:r>
        <w:t>This would be the amount for teaching either a summer 1 or summer 2 course</w:t>
      </w:r>
    </w:p>
    <w:p w14:paraId="7196FC90" w14:textId="77777777" w:rsidR="001D0320" w:rsidRDefault="001D0320">
      <w:pPr>
        <w:pStyle w:val="BodyText"/>
      </w:pPr>
    </w:p>
    <w:p w14:paraId="48641C2B" w14:textId="77777777" w:rsidR="001D0320" w:rsidRDefault="001D0320">
      <w:pPr>
        <w:pStyle w:val="BodyText"/>
      </w:pPr>
    </w:p>
    <w:p w14:paraId="43998133" w14:textId="77777777" w:rsidR="001D0320" w:rsidRDefault="001D0320">
      <w:pPr>
        <w:pStyle w:val="BodyText"/>
        <w:spacing w:before="11"/>
        <w:rPr>
          <w:sz w:val="21"/>
        </w:rPr>
      </w:pPr>
    </w:p>
    <w:p w14:paraId="72FE6AB9" w14:textId="77777777" w:rsidR="001D0320" w:rsidRDefault="004D54F3">
      <w:pPr>
        <w:ind w:left="115"/>
        <w:rPr>
          <w:b/>
        </w:rPr>
      </w:pPr>
      <w:r>
        <w:rPr>
          <w:b/>
          <w:color w:val="0070C0"/>
          <w:u w:val="single" w:color="0070C0"/>
        </w:rPr>
        <w:t>Department Head/Division Director Summer Pay</w:t>
      </w:r>
    </w:p>
    <w:p w14:paraId="25513C4F" w14:textId="77777777" w:rsidR="001D0320" w:rsidRDefault="001D0320">
      <w:pPr>
        <w:pStyle w:val="BodyText"/>
        <w:spacing w:before="5"/>
        <w:rPr>
          <w:b/>
          <w:sz w:val="17"/>
        </w:rPr>
      </w:pPr>
    </w:p>
    <w:p w14:paraId="38837B57" w14:textId="3F39CEC3" w:rsidR="001D0320" w:rsidRDefault="004D54F3">
      <w:pPr>
        <w:spacing w:before="57"/>
        <w:ind w:left="115" w:right="158"/>
        <w:rPr>
          <w:b/>
        </w:rPr>
      </w:pPr>
      <w:r>
        <w:rPr>
          <w:b/>
          <w:color w:val="0070C0"/>
        </w:rPr>
        <w:t xml:space="preserve">Note that effective in summer 2017 and forward, all DHDD’s will receive their 37.5 days of departmental summer pay directly through Payroll, equally split between June </w:t>
      </w:r>
      <w:r w:rsidR="00BA4440">
        <w:rPr>
          <w:b/>
          <w:color w:val="0070C0"/>
        </w:rPr>
        <w:t xml:space="preserve">and </w:t>
      </w:r>
      <w:r>
        <w:rPr>
          <w:b/>
          <w:color w:val="0070C0"/>
        </w:rPr>
        <w:t xml:space="preserve">July. The specific dates no longer need to be accounted for on the summer HR form. </w:t>
      </w:r>
      <w:r>
        <w:rPr>
          <w:b/>
          <w:color w:val="0070C0"/>
          <w:u w:val="single" w:color="0070C0"/>
        </w:rPr>
        <w:t>HOWEVER</w:t>
      </w:r>
      <w:r>
        <w:rPr>
          <w:b/>
          <w:color w:val="0070C0"/>
        </w:rPr>
        <w:t xml:space="preserve"> – this means that all DHDD’s are only allowed 3</w:t>
      </w:r>
      <w:r w:rsidR="00BA4440">
        <w:rPr>
          <w:b/>
          <w:color w:val="0070C0"/>
        </w:rPr>
        <w:t>7</w:t>
      </w:r>
      <w:r>
        <w:rPr>
          <w:b/>
          <w:color w:val="0070C0"/>
        </w:rPr>
        <w:t xml:space="preserve">.5 additional days </w:t>
      </w:r>
      <w:r w:rsidR="00BA4440">
        <w:rPr>
          <w:b/>
          <w:color w:val="0070C0"/>
        </w:rPr>
        <w:t xml:space="preserve">(in 2020) </w:t>
      </w:r>
      <w:r>
        <w:rPr>
          <w:b/>
          <w:color w:val="0070C0"/>
        </w:rPr>
        <w:t>that can be charged over the summer for either teaching and/or research.</w:t>
      </w:r>
      <w:bookmarkStart w:id="0" w:name="_GoBack"/>
      <w:bookmarkEnd w:id="0"/>
    </w:p>
    <w:sectPr w:rsidR="001D0320">
      <w:pgSz w:w="12240" w:h="15840"/>
      <w:pgMar w:top="1120" w:right="12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B69"/>
    <w:multiLevelType w:val="hybridMultilevel"/>
    <w:tmpl w:val="2CA64DB4"/>
    <w:lvl w:ilvl="0" w:tplc="6EBC7D16">
      <w:start w:val="1"/>
      <w:numFmt w:val="decimal"/>
      <w:lvlText w:val="%1)"/>
      <w:lvlJc w:val="left"/>
      <w:pPr>
        <w:ind w:left="835" w:hanging="360"/>
        <w:jc w:val="left"/>
      </w:pPr>
      <w:rPr>
        <w:rFonts w:ascii="Calibri" w:eastAsia="Calibri" w:hAnsi="Calibri" w:cs="Calibri" w:hint="default"/>
        <w:w w:val="100"/>
        <w:sz w:val="22"/>
        <w:szCs w:val="22"/>
        <w:lang w:val="en-US" w:eastAsia="en-US" w:bidi="en-US"/>
      </w:rPr>
    </w:lvl>
    <w:lvl w:ilvl="1" w:tplc="23C22ADA">
      <w:numFmt w:val="bullet"/>
      <w:lvlText w:val="•"/>
      <w:lvlJc w:val="left"/>
      <w:pPr>
        <w:ind w:left="1738" w:hanging="360"/>
      </w:pPr>
      <w:rPr>
        <w:rFonts w:hint="default"/>
        <w:lang w:val="en-US" w:eastAsia="en-US" w:bidi="en-US"/>
      </w:rPr>
    </w:lvl>
    <w:lvl w:ilvl="2" w:tplc="793EA6D4">
      <w:numFmt w:val="bullet"/>
      <w:lvlText w:val="•"/>
      <w:lvlJc w:val="left"/>
      <w:pPr>
        <w:ind w:left="2636" w:hanging="360"/>
      </w:pPr>
      <w:rPr>
        <w:rFonts w:hint="default"/>
        <w:lang w:val="en-US" w:eastAsia="en-US" w:bidi="en-US"/>
      </w:rPr>
    </w:lvl>
    <w:lvl w:ilvl="3" w:tplc="7F50A8A4">
      <w:numFmt w:val="bullet"/>
      <w:lvlText w:val="•"/>
      <w:lvlJc w:val="left"/>
      <w:pPr>
        <w:ind w:left="3534" w:hanging="360"/>
      </w:pPr>
      <w:rPr>
        <w:rFonts w:hint="default"/>
        <w:lang w:val="en-US" w:eastAsia="en-US" w:bidi="en-US"/>
      </w:rPr>
    </w:lvl>
    <w:lvl w:ilvl="4" w:tplc="2A20938E">
      <w:numFmt w:val="bullet"/>
      <w:lvlText w:val="•"/>
      <w:lvlJc w:val="left"/>
      <w:pPr>
        <w:ind w:left="4432" w:hanging="360"/>
      </w:pPr>
      <w:rPr>
        <w:rFonts w:hint="default"/>
        <w:lang w:val="en-US" w:eastAsia="en-US" w:bidi="en-US"/>
      </w:rPr>
    </w:lvl>
    <w:lvl w:ilvl="5" w:tplc="40AC7BC0">
      <w:numFmt w:val="bullet"/>
      <w:lvlText w:val="•"/>
      <w:lvlJc w:val="left"/>
      <w:pPr>
        <w:ind w:left="5330" w:hanging="360"/>
      </w:pPr>
      <w:rPr>
        <w:rFonts w:hint="default"/>
        <w:lang w:val="en-US" w:eastAsia="en-US" w:bidi="en-US"/>
      </w:rPr>
    </w:lvl>
    <w:lvl w:ilvl="6" w:tplc="19F0775A">
      <w:numFmt w:val="bullet"/>
      <w:lvlText w:val="•"/>
      <w:lvlJc w:val="left"/>
      <w:pPr>
        <w:ind w:left="6228" w:hanging="360"/>
      </w:pPr>
      <w:rPr>
        <w:rFonts w:hint="default"/>
        <w:lang w:val="en-US" w:eastAsia="en-US" w:bidi="en-US"/>
      </w:rPr>
    </w:lvl>
    <w:lvl w:ilvl="7" w:tplc="56A46AF4">
      <w:numFmt w:val="bullet"/>
      <w:lvlText w:val="•"/>
      <w:lvlJc w:val="left"/>
      <w:pPr>
        <w:ind w:left="7126" w:hanging="360"/>
      </w:pPr>
      <w:rPr>
        <w:rFonts w:hint="default"/>
        <w:lang w:val="en-US" w:eastAsia="en-US" w:bidi="en-US"/>
      </w:rPr>
    </w:lvl>
    <w:lvl w:ilvl="8" w:tplc="A0C40E50">
      <w:numFmt w:val="bullet"/>
      <w:lvlText w:val="•"/>
      <w:lvlJc w:val="left"/>
      <w:pPr>
        <w:ind w:left="802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20"/>
    <w:rsid w:val="000A3915"/>
    <w:rsid w:val="001D0320"/>
    <w:rsid w:val="004D54F3"/>
    <w:rsid w:val="006D16C9"/>
    <w:rsid w:val="007C4B48"/>
    <w:rsid w:val="00BA4440"/>
    <w:rsid w:val="00F4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8B67"/>
  <w15:docId w15:val="{9E570FC6-8F26-4C51-9F2B-E9FA22C5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4" w:right="110" w:hanging="360"/>
    </w:pPr>
  </w:style>
  <w:style w:type="paragraph" w:customStyle="1" w:styleId="TableParagraph">
    <w:name w:val="Table Paragraph"/>
    <w:basedOn w:val="Normal"/>
    <w:uiPriority w:val="1"/>
    <w:qFormat/>
    <w:pPr>
      <w:spacing w:line="249" w:lineRule="exact"/>
      <w:ind w:left="200"/>
    </w:pPr>
  </w:style>
  <w:style w:type="character" w:styleId="CommentReference">
    <w:name w:val="annotation reference"/>
    <w:basedOn w:val="DefaultParagraphFont"/>
    <w:uiPriority w:val="99"/>
    <w:semiHidden/>
    <w:unhideWhenUsed/>
    <w:rsid w:val="00BA4440"/>
    <w:rPr>
      <w:sz w:val="16"/>
      <w:szCs w:val="16"/>
    </w:rPr>
  </w:style>
  <w:style w:type="paragraph" w:styleId="CommentText">
    <w:name w:val="annotation text"/>
    <w:basedOn w:val="Normal"/>
    <w:link w:val="CommentTextChar"/>
    <w:uiPriority w:val="99"/>
    <w:semiHidden/>
    <w:unhideWhenUsed/>
    <w:rsid w:val="00BA4440"/>
    <w:rPr>
      <w:sz w:val="20"/>
      <w:szCs w:val="20"/>
    </w:rPr>
  </w:style>
  <w:style w:type="character" w:customStyle="1" w:styleId="CommentTextChar">
    <w:name w:val="Comment Text Char"/>
    <w:basedOn w:val="DefaultParagraphFont"/>
    <w:link w:val="CommentText"/>
    <w:uiPriority w:val="99"/>
    <w:semiHidden/>
    <w:rsid w:val="00BA444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A4440"/>
    <w:rPr>
      <w:b/>
      <w:bCs/>
    </w:rPr>
  </w:style>
  <w:style w:type="character" w:customStyle="1" w:styleId="CommentSubjectChar">
    <w:name w:val="Comment Subject Char"/>
    <w:basedOn w:val="CommentTextChar"/>
    <w:link w:val="CommentSubject"/>
    <w:uiPriority w:val="99"/>
    <w:semiHidden/>
    <w:rsid w:val="00BA4440"/>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BA4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4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Kenney</dc:creator>
  <cp:lastModifiedBy>Jennie Kenney</cp:lastModifiedBy>
  <cp:revision>2</cp:revision>
  <dcterms:created xsi:type="dcterms:W3CDTF">2020-03-19T15:50:00Z</dcterms:created>
  <dcterms:modified xsi:type="dcterms:W3CDTF">2020-03-19T15:50:00Z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Acrobat PDFMaker 15 for Word</vt:lpwstr>
  </property>
  <property fmtid="{D5CDD505-2E9C-101B-9397-08002B2CF9AE}" pid="4" name="LastSaved">
    <vt:filetime>2020-02-28T00:00:00Z</vt:filetime>
  </property>
</Properties>
</file>